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1680"/>
        <w:rPr>
          <w:color w:val="000000"/>
        </w:rPr>
      </w:pPr>
    </w:p>
    <w:p>
      <w:pPr>
        <w:spacing w:line="240" w:lineRule="auto"/>
        <w:ind w:firstLine="0" w:firstLineChars="0"/>
        <w:jc w:val="center"/>
        <w:rPr>
          <w:rFonts w:ascii="华文中宋" w:hAnsi="华文中宋" w:eastAsia="华文中宋"/>
          <w:b/>
          <w:bCs/>
          <w:color w:val="000000"/>
          <w:sz w:val="48"/>
          <w:szCs w:val="44"/>
        </w:rPr>
      </w:pPr>
      <w:bookmarkStart w:id="0" w:name="_Hlk32495755"/>
    </w:p>
    <w:p>
      <w:pPr>
        <w:spacing w:line="240" w:lineRule="auto"/>
        <w:ind w:firstLine="0" w:firstLineChars="0"/>
        <w:jc w:val="center"/>
        <w:rPr>
          <w:rFonts w:hint="eastAsia" w:ascii="华文中宋" w:hAnsi="华文中宋" w:eastAsia="华文中宋"/>
          <w:b/>
          <w:bCs/>
          <w:color w:val="000000"/>
          <w:sz w:val="48"/>
          <w:szCs w:val="44"/>
        </w:rPr>
      </w:pPr>
      <w:r>
        <w:rPr>
          <w:rFonts w:hint="eastAsia" w:ascii="华文中宋" w:hAnsi="华文中宋" w:eastAsia="华文中宋"/>
          <w:b/>
          <w:bCs/>
          <w:color w:val="000000"/>
          <w:sz w:val="48"/>
          <w:szCs w:val="44"/>
        </w:rPr>
        <w:t>泰州市</w:t>
      </w:r>
      <w:r>
        <w:rPr>
          <w:rFonts w:ascii="Times" w:hAnsi="Times" w:eastAsia="华文中宋"/>
          <w:b/>
          <w:bCs/>
          <w:color w:val="000000"/>
          <w:sz w:val="48"/>
          <w:szCs w:val="44"/>
        </w:rPr>
        <w:t>2021-2025</w:t>
      </w:r>
      <w:r>
        <w:rPr>
          <w:rFonts w:hint="eastAsia" w:ascii="华文中宋" w:hAnsi="华文中宋" w:eastAsia="华文中宋"/>
          <w:b/>
          <w:bCs/>
          <w:color w:val="000000"/>
          <w:sz w:val="48"/>
          <w:szCs w:val="44"/>
        </w:rPr>
        <w:t>年水利发展规划</w:t>
      </w:r>
    </w:p>
    <w:p>
      <w:pPr>
        <w:spacing w:line="240" w:lineRule="auto"/>
        <w:ind w:firstLine="0" w:firstLineChars="0"/>
        <w:jc w:val="center"/>
        <w:rPr>
          <w:rFonts w:hint="eastAsia" w:ascii="华文中宋" w:hAnsi="华文中宋" w:eastAsia="华文中宋"/>
          <w:b/>
          <w:bCs/>
          <w:color w:val="000000"/>
          <w:sz w:val="48"/>
          <w:szCs w:val="44"/>
          <w:lang w:eastAsia="zh-CN"/>
        </w:rPr>
      </w:pPr>
      <w:r>
        <w:rPr>
          <w:rFonts w:hint="eastAsia" w:ascii="华文中宋" w:hAnsi="华文中宋" w:eastAsia="华文中宋"/>
          <w:b/>
          <w:bCs/>
          <w:color w:val="000000"/>
          <w:sz w:val="48"/>
          <w:szCs w:val="44"/>
          <w:lang w:eastAsia="zh-CN"/>
        </w:rPr>
        <w:t>（征求意见稿）</w:t>
      </w:r>
    </w:p>
    <w:bookmarkEnd w:id="0"/>
    <w:p>
      <w:pPr>
        <w:ind w:firstLine="0" w:firstLineChars="0"/>
        <w:jc w:val="center"/>
        <w:rPr>
          <w:rFonts w:ascii="黑体" w:hAnsi="黑体" w:eastAsia="黑体"/>
          <w:color w:val="000000"/>
        </w:rPr>
      </w:pPr>
    </w:p>
    <w:p>
      <w:pPr>
        <w:ind w:firstLine="31680"/>
        <w:rPr>
          <w:color w:val="000000"/>
        </w:rPr>
      </w:pPr>
    </w:p>
    <w:p>
      <w:pPr>
        <w:ind w:firstLine="31680"/>
        <w:rPr>
          <w:color w:val="000000"/>
        </w:rPr>
      </w:pPr>
    </w:p>
    <w:p>
      <w:pPr>
        <w:ind w:firstLine="31680"/>
        <w:rPr>
          <w:color w:val="000000"/>
        </w:rPr>
      </w:pPr>
    </w:p>
    <w:p>
      <w:pPr>
        <w:ind w:firstLine="31680"/>
        <w:rPr>
          <w:color w:val="000000"/>
        </w:rPr>
      </w:pPr>
    </w:p>
    <w:p>
      <w:pPr>
        <w:ind w:firstLine="31680"/>
        <w:rPr>
          <w:color w:val="000000"/>
        </w:rPr>
      </w:pPr>
    </w:p>
    <w:p>
      <w:pPr>
        <w:ind w:firstLine="31680"/>
        <w:rPr>
          <w:color w:val="000000"/>
        </w:rPr>
      </w:pPr>
    </w:p>
    <w:p>
      <w:pPr>
        <w:ind w:firstLine="31680"/>
        <w:rPr>
          <w:color w:val="000000"/>
        </w:rPr>
      </w:pPr>
    </w:p>
    <w:p>
      <w:pPr>
        <w:ind w:firstLine="31680"/>
        <w:rPr>
          <w:color w:val="000000"/>
        </w:rPr>
      </w:pPr>
    </w:p>
    <w:p>
      <w:pPr>
        <w:ind w:firstLine="31680"/>
        <w:rPr>
          <w:color w:val="000000"/>
        </w:rPr>
      </w:pPr>
    </w:p>
    <w:p>
      <w:pPr>
        <w:ind w:firstLine="31680"/>
        <w:rPr>
          <w:color w:val="000000"/>
        </w:rPr>
      </w:pPr>
    </w:p>
    <w:p>
      <w:pPr>
        <w:ind w:firstLine="31680"/>
        <w:rPr>
          <w:color w:val="000000"/>
        </w:rPr>
      </w:pPr>
    </w:p>
    <w:p>
      <w:pPr>
        <w:ind w:firstLine="31680"/>
        <w:rPr>
          <w:color w:val="000000"/>
        </w:rPr>
      </w:pPr>
    </w:p>
    <w:p>
      <w:pPr>
        <w:ind w:firstLine="31680"/>
        <w:rPr>
          <w:color w:val="000000"/>
        </w:rPr>
      </w:pPr>
    </w:p>
    <w:p>
      <w:pPr>
        <w:ind w:firstLine="31680"/>
        <w:rPr>
          <w:color w:val="000000"/>
        </w:rPr>
      </w:pPr>
    </w:p>
    <w:p>
      <w:pPr>
        <w:ind w:firstLine="0" w:firstLineChars="0"/>
        <w:jc w:val="center"/>
        <w:rPr>
          <w:rFonts w:eastAsia="宋体"/>
          <w:b/>
          <w:bCs/>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bookmarkStart w:id="1" w:name="_Hlk32216830"/>
    </w:p>
    <w:bookmarkEnd w:id="1"/>
    <w:p>
      <w:pPr>
        <w:spacing w:line="440" w:lineRule="exact"/>
        <w:ind w:firstLine="0" w:firstLineChars="0"/>
        <w:jc w:val="center"/>
        <w:rPr>
          <w:rFonts w:ascii="华文中宋" w:hAnsi="华文中宋" w:eastAsia="华文中宋"/>
          <w:b/>
          <w:bCs/>
          <w:color w:val="000000"/>
          <w:szCs w:val="32"/>
        </w:rPr>
      </w:pPr>
      <w:bookmarkStart w:id="82" w:name="_GoBack"/>
      <w:bookmarkEnd w:id="82"/>
      <w:r>
        <w:rPr>
          <w:rFonts w:hint="eastAsia" w:ascii="华文中宋" w:hAnsi="华文中宋" w:eastAsia="华文中宋"/>
          <w:b/>
          <w:bCs/>
          <w:color w:val="000000"/>
          <w:szCs w:val="32"/>
          <w:lang w:val="zh-CN"/>
        </w:rPr>
        <w:t>目</w:t>
      </w:r>
      <w:r>
        <w:rPr>
          <w:rFonts w:ascii="华文中宋" w:hAnsi="华文中宋" w:eastAsia="华文中宋"/>
          <w:b/>
          <w:bCs/>
          <w:color w:val="000000"/>
          <w:szCs w:val="32"/>
          <w:lang w:val="zh-CN"/>
        </w:rPr>
        <w:t xml:space="preserve"> </w:t>
      </w:r>
      <w:r>
        <w:rPr>
          <w:rFonts w:hint="eastAsia" w:ascii="华文中宋" w:hAnsi="华文中宋" w:eastAsia="华文中宋"/>
          <w:b/>
          <w:bCs/>
          <w:color w:val="000000"/>
          <w:szCs w:val="32"/>
          <w:lang w:val="zh-CN"/>
        </w:rPr>
        <w:t>录</w:t>
      </w:r>
    </w:p>
    <w:p>
      <w:pPr>
        <w:pStyle w:val="18"/>
        <w:adjustRightInd w:val="0"/>
        <w:spacing w:line="360" w:lineRule="exact"/>
        <w:ind w:firstLine="404" w:firstLineChars="101"/>
        <w:rPr>
          <w:rFonts w:ascii="Times New Roman"/>
          <w:color w:val="000000"/>
          <w:sz w:val="32"/>
          <w:szCs w:val="36"/>
        </w:rPr>
      </w:pPr>
      <w:r>
        <w:rPr>
          <w:rFonts w:ascii="Times New Roman"/>
          <w:color w:val="000000"/>
          <w:sz w:val="40"/>
          <w:szCs w:val="40"/>
        </w:rPr>
        <w:fldChar w:fldCharType="begin"/>
      </w:r>
      <w:r>
        <w:rPr>
          <w:rFonts w:ascii="Times New Roman"/>
          <w:color w:val="000000"/>
          <w:sz w:val="40"/>
          <w:szCs w:val="40"/>
        </w:rPr>
        <w:instrText xml:space="preserve"> TOC \o "1-2" \h \z \u </w:instrText>
      </w:r>
      <w:r>
        <w:rPr>
          <w:rFonts w:ascii="Times New Roman"/>
          <w:color w:val="000000"/>
          <w:sz w:val="40"/>
          <w:szCs w:val="40"/>
        </w:rPr>
        <w:fldChar w:fldCharType="separate"/>
      </w:r>
      <w:r>
        <w:fldChar w:fldCharType="begin"/>
      </w:r>
      <w:r>
        <w:instrText xml:space="preserve"> HYPERLINK \l "_Toc41928822" </w:instrText>
      </w:r>
      <w:r>
        <w:fldChar w:fldCharType="separate"/>
      </w:r>
      <w:r>
        <w:rPr>
          <w:rStyle w:val="26"/>
          <w:rFonts w:hint="eastAsia" w:ascii="Times New Roman" w:eastAsia="仿宋"/>
          <w:color w:val="000000"/>
          <w:sz w:val="28"/>
          <w:szCs w:val="28"/>
        </w:rPr>
        <w:t>一、发展基础</w:t>
      </w:r>
      <w:r>
        <w:rPr>
          <w:rFonts w:ascii="Times New Roman"/>
          <w:color w:val="000000"/>
          <w:sz w:val="24"/>
          <w:szCs w:val="24"/>
        </w:rPr>
        <w:tab/>
      </w:r>
      <w:r>
        <w:rPr>
          <w:rFonts w:ascii="Times New Roman"/>
          <w:color w:val="000000"/>
          <w:sz w:val="24"/>
          <w:szCs w:val="24"/>
        </w:rPr>
        <w:fldChar w:fldCharType="begin"/>
      </w:r>
      <w:r>
        <w:rPr>
          <w:rFonts w:ascii="Times New Roman"/>
          <w:color w:val="000000"/>
          <w:sz w:val="24"/>
          <w:szCs w:val="24"/>
        </w:rPr>
        <w:instrText xml:space="preserve"> PAGEREF _Toc41928822 \h </w:instrText>
      </w:r>
      <w:r>
        <w:rPr>
          <w:rFonts w:ascii="Times New Roman"/>
          <w:color w:val="000000"/>
          <w:sz w:val="24"/>
          <w:szCs w:val="24"/>
        </w:rPr>
        <w:fldChar w:fldCharType="separate"/>
      </w:r>
      <w:r>
        <w:rPr>
          <w:rFonts w:ascii="Times New Roman"/>
          <w:color w:val="000000"/>
          <w:sz w:val="24"/>
          <w:szCs w:val="24"/>
        </w:rPr>
        <w:t>1</w:t>
      </w:r>
      <w:r>
        <w:rPr>
          <w:rFonts w:ascii="Times New Roman"/>
          <w:color w:val="000000"/>
          <w:sz w:val="24"/>
          <w:szCs w:val="24"/>
        </w:rPr>
        <w:fldChar w:fldCharType="end"/>
      </w:r>
      <w:r>
        <w:rPr>
          <w:rFonts w:ascii="Times New Roman"/>
          <w:color w:val="000000"/>
          <w:sz w:val="24"/>
          <w:szCs w:val="24"/>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"_Toc41928823" </w:instrText>
      </w:r>
      <w:r>
        <w:fldChar w:fldCharType="separate"/>
      </w:r>
      <w:r>
        <w:rPr>
          <w:rStyle w:val="26"/>
          <w:rFonts w:hint="eastAsia" w:ascii="Times New Roman" w:eastAsia="仿宋"/>
          <w:color w:val="000000"/>
          <w:sz w:val="28"/>
          <w:szCs w:val="28"/>
        </w:rPr>
        <w:t>（一）发展成就</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_Toc41928823 \h </w:instrText>
      </w:r>
      <w:r>
        <w:rPr>
          <w:rFonts w:ascii="Times New Roman" w:eastAsia="仿宋"/>
          <w:color w:val="000000"/>
          <w:sz w:val="28"/>
          <w:szCs w:val="28"/>
        </w:rPr>
        <w:fldChar w:fldCharType="separate"/>
      </w:r>
      <w:r>
        <w:rPr>
          <w:rFonts w:ascii="Times New Roman" w:eastAsia="仿宋"/>
          <w:color w:val="000000"/>
          <w:sz w:val="28"/>
          <w:szCs w:val="28"/>
        </w:rPr>
        <w:t>1</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"_Toc41928824" </w:instrText>
      </w:r>
      <w:r>
        <w:fldChar w:fldCharType="separate"/>
      </w:r>
      <w:r>
        <w:rPr>
          <w:rStyle w:val="26"/>
          <w:rFonts w:hint="eastAsia" w:ascii="Times New Roman" w:eastAsia="仿宋"/>
          <w:color w:val="000000"/>
          <w:sz w:val="28"/>
          <w:szCs w:val="28"/>
        </w:rPr>
        <w:t>（二）存在问题</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_Toc41928824 \h </w:instrText>
      </w:r>
      <w:r>
        <w:rPr>
          <w:rFonts w:ascii="Times New Roman" w:eastAsia="仿宋"/>
          <w:color w:val="000000"/>
          <w:sz w:val="28"/>
          <w:szCs w:val="28"/>
        </w:rPr>
        <w:fldChar w:fldCharType="separate"/>
      </w:r>
      <w:r>
        <w:rPr>
          <w:rFonts w:ascii="Times New Roman" w:eastAsia="仿宋"/>
          <w:color w:val="000000"/>
          <w:sz w:val="28"/>
          <w:szCs w:val="28"/>
        </w:rPr>
        <w:t>5</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"_Toc41928825" </w:instrText>
      </w:r>
      <w:r>
        <w:fldChar w:fldCharType="separate"/>
      </w:r>
      <w:r>
        <w:rPr>
          <w:rStyle w:val="26"/>
          <w:rFonts w:hint="eastAsia" w:ascii="Times New Roman" w:eastAsia="仿宋"/>
          <w:color w:val="000000"/>
          <w:sz w:val="28"/>
          <w:szCs w:val="28"/>
        </w:rPr>
        <w:t>（三）面临形势</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_Toc41928825 \h </w:instrText>
      </w:r>
      <w:r>
        <w:rPr>
          <w:rFonts w:ascii="Times New Roman" w:eastAsia="仿宋"/>
          <w:color w:val="000000"/>
          <w:sz w:val="28"/>
          <w:szCs w:val="28"/>
        </w:rPr>
        <w:fldChar w:fldCharType="separate"/>
      </w:r>
      <w:r>
        <w:rPr>
          <w:rFonts w:ascii="Times New Roman" w:eastAsia="仿宋"/>
          <w:color w:val="000000"/>
          <w:sz w:val="28"/>
          <w:szCs w:val="28"/>
        </w:rPr>
        <w:t>6</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18"/>
        <w:adjustRightInd w:val="0"/>
        <w:spacing w:line="360" w:lineRule="exact"/>
        <w:ind w:firstLine="31680"/>
        <w:rPr>
          <w:rFonts w:ascii="Times New Roman"/>
          <w:color w:val="000000"/>
          <w:sz w:val="32"/>
          <w:szCs w:val="36"/>
        </w:rPr>
      </w:pPr>
      <w:r>
        <w:fldChar w:fldCharType="begin"/>
      </w:r>
      <w:r>
        <w:instrText xml:space="preserve"> HYPERLINK \l "_Toc41928826" </w:instrText>
      </w:r>
      <w:r>
        <w:fldChar w:fldCharType="separate"/>
      </w:r>
      <w:r>
        <w:rPr>
          <w:rStyle w:val="26"/>
          <w:rFonts w:hint="eastAsia" w:ascii="Times New Roman" w:eastAsia="仿宋"/>
          <w:color w:val="000000"/>
          <w:sz w:val="28"/>
          <w:szCs w:val="28"/>
        </w:rPr>
        <w:t>二、总体要求</w:t>
      </w:r>
      <w:r>
        <w:rPr>
          <w:rFonts w:ascii="Times New Roman"/>
          <w:color w:val="000000"/>
          <w:sz w:val="24"/>
          <w:szCs w:val="24"/>
        </w:rPr>
        <w:tab/>
      </w:r>
      <w:r>
        <w:rPr>
          <w:rFonts w:ascii="Times New Roman"/>
          <w:color w:val="000000"/>
          <w:sz w:val="24"/>
          <w:szCs w:val="24"/>
        </w:rPr>
        <w:fldChar w:fldCharType="begin"/>
      </w:r>
      <w:r>
        <w:rPr>
          <w:rFonts w:ascii="Times New Roman"/>
          <w:color w:val="000000"/>
          <w:sz w:val="24"/>
          <w:szCs w:val="24"/>
        </w:rPr>
        <w:instrText xml:space="preserve"> PAGEREF _Toc41928826 \h </w:instrText>
      </w:r>
      <w:r>
        <w:rPr>
          <w:rFonts w:ascii="Times New Roman"/>
          <w:color w:val="000000"/>
          <w:sz w:val="24"/>
          <w:szCs w:val="24"/>
        </w:rPr>
        <w:fldChar w:fldCharType="separate"/>
      </w:r>
      <w:r>
        <w:rPr>
          <w:rFonts w:ascii="Times New Roman"/>
          <w:color w:val="000000"/>
          <w:sz w:val="24"/>
          <w:szCs w:val="24"/>
        </w:rPr>
        <w:t>9</w:t>
      </w:r>
      <w:r>
        <w:rPr>
          <w:rFonts w:ascii="Times New Roman"/>
          <w:color w:val="000000"/>
          <w:sz w:val="24"/>
          <w:szCs w:val="24"/>
        </w:rPr>
        <w:fldChar w:fldCharType="end"/>
      </w:r>
      <w:r>
        <w:rPr>
          <w:rFonts w:ascii="Times New Roman"/>
          <w:color w:val="000000"/>
          <w:sz w:val="24"/>
          <w:szCs w:val="24"/>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"_Toc41928827" </w:instrText>
      </w:r>
      <w:r>
        <w:fldChar w:fldCharType="separate"/>
      </w:r>
      <w:r>
        <w:rPr>
          <w:rStyle w:val="26"/>
          <w:rFonts w:hint="eastAsia" w:ascii="Times New Roman" w:eastAsia="仿宋"/>
          <w:color w:val="000000"/>
          <w:sz w:val="28"/>
          <w:szCs w:val="28"/>
        </w:rPr>
        <w:t>（一）指导思想</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_Toc41928827 \h </w:instrText>
      </w:r>
      <w:r>
        <w:rPr>
          <w:rFonts w:ascii="Times New Roman" w:eastAsia="仿宋"/>
          <w:color w:val="000000"/>
          <w:sz w:val="28"/>
          <w:szCs w:val="28"/>
        </w:rPr>
        <w:fldChar w:fldCharType="separate"/>
      </w:r>
      <w:r>
        <w:rPr>
          <w:rFonts w:ascii="Times New Roman" w:eastAsia="仿宋"/>
          <w:color w:val="000000"/>
          <w:sz w:val="28"/>
          <w:szCs w:val="28"/>
        </w:rPr>
        <w:t>9</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"_Toc41928828" </w:instrText>
      </w:r>
      <w:r>
        <w:fldChar w:fldCharType="separate"/>
      </w:r>
      <w:r>
        <w:rPr>
          <w:rStyle w:val="26"/>
          <w:rFonts w:hint="eastAsia" w:ascii="Times New Roman" w:eastAsia="仿宋"/>
          <w:color w:val="000000"/>
          <w:sz w:val="28"/>
          <w:szCs w:val="28"/>
        </w:rPr>
        <w:t>（二）基本原则</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_Toc41928828 \h </w:instrText>
      </w:r>
      <w:r>
        <w:rPr>
          <w:rFonts w:ascii="Times New Roman" w:eastAsia="仿宋"/>
          <w:color w:val="000000"/>
          <w:sz w:val="28"/>
          <w:szCs w:val="28"/>
        </w:rPr>
        <w:fldChar w:fldCharType="separate"/>
      </w:r>
      <w:r>
        <w:rPr>
          <w:rFonts w:ascii="Times New Roman" w:eastAsia="仿宋"/>
          <w:color w:val="000000"/>
          <w:sz w:val="28"/>
          <w:szCs w:val="28"/>
        </w:rPr>
        <w:t>10</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"_Toc41928829" </w:instrText>
      </w:r>
      <w:r>
        <w:fldChar w:fldCharType="separate"/>
      </w:r>
      <w:r>
        <w:rPr>
          <w:rStyle w:val="26"/>
          <w:rFonts w:hint="eastAsia" w:ascii="Times New Roman" w:eastAsia="仿宋"/>
          <w:color w:val="000000"/>
          <w:sz w:val="28"/>
          <w:szCs w:val="28"/>
        </w:rPr>
        <w:t>（三）发展目标</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_Toc41928829 \h </w:instrText>
      </w:r>
      <w:r>
        <w:rPr>
          <w:rFonts w:ascii="Times New Roman" w:eastAsia="仿宋"/>
          <w:color w:val="000000"/>
          <w:sz w:val="28"/>
          <w:szCs w:val="28"/>
        </w:rPr>
        <w:fldChar w:fldCharType="separate"/>
      </w:r>
      <w:r>
        <w:rPr>
          <w:rFonts w:ascii="Times New Roman" w:eastAsia="仿宋"/>
          <w:color w:val="000000"/>
          <w:sz w:val="28"/>
          <w:szCs w:val="28"/>
        </w:rPr>
        <w:t>11</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18"/>
        <w:adjustRightInd w:val="0"/>
        <w:spacing w:line="360" w:lineRule="exact"/>
        <w:ind w:firstLine="31680"/>
        <w:rPr>
          <w:rFonts w:ascii="Times New Roman"/>
          <w:color w:val="000000"/>
          <w:sz w:val="32"/>
          <w:szCs w:val="36"/>
        </w:rPr>
      </w:pPr>
      <w:r>
        <w:fldChar w:fldCharType="begin"/>
      </w:r>
      <w:r>
        <w:instrText xml:space="preserve"> HYPERLINK \l "_Toc41928830" </w:instrText>
      </w:r>
      <w:r>
        <w:fldChar w:fldCharType="separate"/>
      </w:r>
      <w:r>
        <w:rPr>
          <w:rStyle w:val="26"/>
          <w:rFonts w:hint="eastAsia" w:ascii="Times New Roman" w:eastAsia="仿宋"/>
          <w:color w:val="000000"/>
          <w:sz w:val="28"/>
          <w:szCs w:val="28"/>
        </w:rPr>
        <w:t>三、主要任务</w:t>
      </w:r>
      <w:r>
        <w:rPr>
          <w:rFonts w:ascii="Times New Roman"/>
          <w:color w:val="000000"/>
          <w:sz w:val="24"/>
          <w:szCs w:val="24"/>
        </w:rPr>
        <w:tab/>
      </w:r>
      <w:r>
        <w:rPr>
          <w:rFonts w:ascii="Times New Roman"/>
          <w:color w:val="000000"/>
          <w:sz w:val="24"/>
          <w:szCs w:val="24"/>
        </w:rPr>
        <w:fldChar w:fldCharType="begin"/>
      </w:r>
      <w:r>
        <w:rPr>
          <w:rFonts w:ascii="Times New Roman"/>
          <w:color w:val="000000"/>
          <w:sz w:val="24"/>
          <w:szCs w:val="24"/>
        </w:rPr>
        <w:instrText xml:space="preserve"> PAGEREF _Toc41928830 \h </w:instrText>
      </w:r>
      <w:r>
        <w:rPr>
          <w:rFonts w:ascii="Times New Roman"/>
          <w:color w:val="000000"/>
          <w:sz w:val="24"/>
          <w:szCs w:val="24"/>
        </w:rPr>
        <w:fldChar w:fldCharType="separate"/>
      </w:r>
      <w:r>
        <w:rPr>
          <w:rFonts w:ascii="Times New Roman"/>
          <w:color w:val="000000"/>
          <w:sz w:val="24"/>
          <w:szCs w:val="24"/>
        </w:rPr>
        <w:t>14</w:t>
      </w:r>
      <w:r>
        <w:rPr>
          <w:rFonts w:ascii="Times New Roman"/>
          <w:color w:val="000000"/>
          <w:sz w:val="24"/>
          <w:szCs w:val="24"/>
        </w:rPr>
        <w:fldChar w:fldCharType="end"/>
      </w:r>
      <w:r>
        <w:rPr>
          <w:rFonts w:ascii="Times New Roman"/>
          <w:color w:val="000000"/>
          <w:sz w:val="24"/>
          <w:szCs w:val="24"/>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"_Toc41928831" </w:instrText>
      </w:r>
      <w:r>
        <w:fldChar w:fldCharType="separate"/>
      </w:r>
      <w:r>
        <w:rPr>
          <w:rStyle w:val="26"/>
          <w:rFonts w:hint="eastAsia" w:ascii="Times New Roman" w:eastAsia="仿宋"/>
          <w:color w:val="000000"/>
          <w:sz w:val="28"/>
          <w:szCs w:val="28"/>
        </w:rPr>
        <w:t>（一）建设标准较高、洪涝可控的</w:t>
      </w:r>
      <w:r>
        <w:rPr>
          <w:rStyle w:val="26"/>
          <w:rFonts w:ascii="Times New Roman" w:eastAsia="仿宋"/>
          <w:color w:val="000000"/>
          <w:sz w:val="28"/>
          <w:szCs w:val="28"/>
        </w:rPr>
        <w:t>“</w:t>
      </w:r>
      <w:r>
        <w:rPr>
          <w:rStyle w:val="26"/>
          <w:rFonts w:hint="eastAsia" w:ascii="Times New Roman" w:eastAsia="仿宋"/>
          <w:color w:val="000000"/>
          <w:sz w:val="28"/>
          <w:szCs w:val="28"/>
        </w:rPr>
        <w:t>安全水利</w:t>
      </w:r>
      <w:r>
        <w:rPr>
          <w:rStyle w:val="26"/>
          <w:rFonts w:ascii="Times New Roman" w:eastAsia="仿宋"/>
          <w:color w:val="000000"/>
          <w:sz w:val="28"/>
          <w:szCs w:val="28"/>
        </w:rPr>
        <w:t>”</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_Toc41928831 \h </w:instrText>
      </w:r>
      <w:r>
        <w:rPr>
          <w:rFonts w:ascii="Times New Roman" w:eastAsia="仿宋"/>
          <w:color w:val="000000"/>
          <w:sz w:val="28"/>
          <w:szCs w:val="28"/>
        </w:rPr>
        <w:fldChar w:fldCharType="separate"/>
      </w:r>
      <w:r>
        <w:rPr>
          <w:rFonts w:ascii="Times New Roman" w:eastAsia="仿宋"/>
          <w:color w:val="000000"/>
          <w:sz w:val="28"/>
          <w:szCs w:val="28"/>
        </w:rPr>
        <w:t>14</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"_Toc41928832" </w:instrText>
      </w:r>
      <w:r>
        <w:fldChar w:fldCharType="separate"/>
      </w:r>
      <w:r>
        <w:rPr>
          <w:rStyle w:val="26"/>
          <w:rFonts w:hint="eastAsia" w:ascii="Times New Roman" w:eastAsia="仿宋"/>
          <w:color w:val="000000"/>
          <w:sz w:val="28"/>
          <w:szCs w:val="28"/>
        </w:rPr>
        <w:t>（二）建设节约集约、高效供给的</w:t>
      </w:r>
      <w:r>
        <w:rPr>
          <w:rStyle w:val="26"/>
          <w:rFonts w:ascii="Times New Roman" w:eastAsia="仿宋"/>
          <w:color w:val="000000"/>
          <w:sz w:val="28"/>
          <w:szCs w:val="28"/>
        </w:rPr>
        <w:t>“</w:t>
      </w:r>
      <w:r>
        <w:rPr>
          <w:rStyle w:val="26"/>
          <w:rFonts w:hint="eastAsia" w:ascii="Times New Roman" w:eastAsia="仿宋"/>
          <w:color w:val="000000"/>
          <w:sz w:val="28"/>
          <w:szCs w:val="28"/>
        </w:rPr>
        <w:t>资源水利</w:t>
      </w:r>
      <w:r>
        <w:rPr>
          <w:rStyle w:val="26"/>
          <w:rFonts w:ascii="Times New Roman" w:eastAsia="仿宋"/>
          <w:color w:val="000000"/>
          <w:sz w:val="28"/>
          <w:szCs w:val="28"/>
        </w:rPr>
        <w:t>”</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_Toc41928832 \h </w:instrText>
      </w:r>
      <w:r>
        <w:rPr>
          <w:rFonts w:ascii="Times New Roman" w:eastAsia="仿宋"/>
          <w:color w:val="000000"/>
          <w:sz w:val="28"/>
          <w:szCs w:val="28"/>
        </w:rPr>
        <w:fldChar w:fldCharType="separate"/>
      </w:r>
      <w:r>
        <w:rPr>
          <w:rFonts w:ascii="Times New Roman" w:eastAsia="仿宋"/>
          <w:color w:val="000000"/>
          <w:sz w:val="28"/>
          <w:szCs w:val="28"/>
        </w:rPr>
        <w:t>16</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"_Toc41928833" </w:instrText>
      </w:r>
      <w:r>
        <w:fldChar w:fldCharType="separate"/>
      </w:r>
      <w:r>
        <w:rPr>
          <w:rStyle w:val="26"/>
          <w:rFonts w:hint="eastAsia" w:ascii="Times New Roman" w:eastAsia="仿宋"/>
          <w:color w:val="000000"/>
          <w:sz w:val="28"/>
          <w:szCs w:val="28"/>
        </w:rPr>
        <w:t>（三）建设河湖健康、空间有序的</w:t>
      </w:r>
      <w:r>
        <w:rPr>
          <w:rStyle w:val="26"/>
          <w:rFonts w:ascii="Times New Roman" w:eastAsia="仿宋"/>
          <w:color w:val="000000"/>
          <w:sz w:val="28"/>
          <w:szCs w:val="28"/>
        </w:rPr>
        <w:t>“</w:t>
      </w:r>
      <w:r>
        <w:rPr>
          <w:rStyle w:val="26"/>
          <w:rFonts w:hint="eastAsia" w:ascii="Times New Roman" w:eastAsia="仿宋"/>
          <w:color w:val="000000"/>
          <w:sz w:val="28"/>
          <w:szCs w:val="28"/>
        </w:rPr>
        <w:t>生态水利</w:t>
      </w:r>
      <w:r>
        <w:rPr>
          <w:rStyle w:val="26"/>
          <w:rFonts w:ascii="Times New Roman" w:eastAsia="仿宋"/>
          <w:color w:val="000000"/>
          <w:sz w:val="28"/>
          <w:szCs w:val="28"/>
        </w:rPr>
        <w:t>”</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_Toc41928833 \h </w:instrText>
      </w:r>
      <w:r>
        <w:rPr>
          <w:rFonts w:ascii="Times New Roman" w:eastAsia="仿宋"/>
          <w:color w:val="000000"/>
          <w:sz w:val="28"/>
          <w:szCs w:val="28"/>
        </w:rPr>
        <w:fldChar w:fldCharType="separate"/>
      </w:r>
      <w:r>
        <w:rPr>
          <w:rFonts w:ascii="Times New Roman" w:eastAsia="仿宋"/>
          <w:color w:val="000000"/>
          <w:sz w:val="28"/>
          <w:szCs w:val="28"/>
        </w:rPr>
        <w:t>18</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"_Toc41928834" </w:instrText>
      </w:r>
      <w:r>
        <w:fldChar w:fldCharType="separate"/>
      </w:r>
      <w:r>
        <w:rPr>
          <w:rStyle w:val="26"/>
          <w:rFonts w:hint="eastAsia" w:ascii="Times New Roman" w:eastAsia="仿宋"/>
          <w:color w:val="000000"/>
          <w:sz w:val="28"/>
          <w:szCs w:val="28"/>
        </w:rPr>
        <w:t>（四）建设设施完善、现代生态的</w:t>
      </w:r>
      <w:r>
        <w:rPr>
          <w:rStyle w:val="26"/>
          <w:rFonts w:ascii="Times New Roman" w:eastAsia="仿宋"/>
          <w:color w:val="000000"/>
          <w:sz w:val="28"/>
          <w:szCs w:val="28"/>
        </w:rPr>
        <w:t>“</w:t>
      </w:r>
      <w:r>
        <w:rPr>
          <w:rStyle w:val="26"/>
          <w:rFonts w:hint="eastAsia" w:ascii="Times New Roman" w:eastAsia="仿宋"/>
          <w:color w:val="000000"/>
          <w:sz w:val="28"/>
          <w:szCs w:val="28"/>
        </w:rPr>
        <w:t>农村水利</w:t>
      </w:r>
      <w:r>
        <w:rPr>
          <w:rStyle w:val="26"/>
          <w:rFonts w:ascii="Times New Roman" w:eastAsia="仿宋"/>
          <w:color w:val="000000"/>
          <w:sz w:val="28"/>
          <w:szCs w:val="28"/>
        </w:rPr>
        <w:t>”</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_Toc41928834 \h </w:instrText>
      </w:r>
      <w:r>
        <w:rPr>
          <w:rFonts w:ascii="Times New Roman" w:eastAsia="仿宋"/>
          <w:color w:val="000000"/>
          <w:sz w:val="28"/>
          <w:szCs w:val="28"/>
        </w:rPr>
        <w:fldChar w:fldCharType="separate"/>
      </w:r>
      <w:r>
        <w:rPr>
          <w:rFonts w:ascii="Times New Roman" w:eastAsia="仿宋"/>
          <w:color w:val="000000"/>
          <w:sz w:val="28"/>
          <w:szCs w:val="28"/>
        </w:rPr>
        <w:t>19</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"_Toc41928835" </w:instrText>
      </w:r>
      <w:r>
        <w:fldChar w:fldCharType="separate"/>
      </w:r>
      <w:r>
        <w:rPr>
          <w:rStyle w:val="26"/>
          <w:rFonts w:hint="eastAsia" w:ascii="Times New Roman" w:eastAsia="仿宋"/>
          <w:color w:val="000000"/>
          <w:sz w:val="28"/>
          <w:szCs w:val="28"/>
        </w:rPr>
        <w:t>（五）建设安全实用、高效共享的</w:t>
      </w:r>
      <w:r>
        <w:rPr>
          <w:rStyle w:val="26"/>
          <w:rFonts w:ascii="Times New Roman" w:eastAsia="仿宋"/>
          <w:color w:val="000000"/>
          <w:sz w:val="28"/>
          <w:szCs w:val="28"/>
        </w:rPr>
        <w:t>“</w:t>
      </w:r>
      <w:r>
        <w:rPr>
          <w:rStyle w:val="26"/>
          <w:rFonts w:hint="eastAsia" w:ascii="Times New Roman" w:eastAsia="仿宋"/>
          <w:color w:val="000000"/>
          <w:sz w:val="28"/>
          <w:szCs w:val="28"/>
        </w:rPr>
        <w:t>智慧水利</w:t>
      </w:r>
      <w:r>
        <w:rPr>
          <w:rStyle w:val="26"/>
          <w:rFonts w:ascii="Times New Roman" w:eastAsia="仿宋"/>
          <w:color w:val="000000"/>
          <w:sz w:val="28"/>
          <w:szCs w:val="28"/>
        </w:rPr>
        <w:t>”</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_Toc41928835 \h </w:instrText>
      </w:r>
      <w:r>
        <w:rPr>
          <w:rFonts w:ascii="Times New Roman" w:eastAsia="仿宋"/>
          <w:color w:val="000000"/>
          <w:sz w:val="28"/>
          <w:szCs w:val="28"/>
        </w:rPr>
        <w:fldChar w:fldCharType="separate"/>
      </w:r>
      <w:r>
        <w:rPr>
          <w:rFonts w:ascii="Times New Roman" w:eastAsia="仿宋"/>
          <w:color w:val="000000"/>
          <w:sz w:val="28"/>
          <w:szCs w:val="28"/>
        </w:rPr>
        <w:t>20</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"_Toc41928836" </w:instrText>
      </w:r>
      <w:r>
        <w:fldChar w:fldCharType="separate"/>
      </w:r>
      <w:r>
        <w:rPr>
          <w:rStyle w:val="26"/>
          <w:rFonts w:hint="eastAsia" w:ascii="Times New Roman" w:eastAsia="仿宋"/>
          <w:color w:val="000000"/>
          <w:sz w:val="28"/>
          <w:szCs w:val="28"/>
        </w:rPr>
        <w:t>（六）建设制度完善、管控有力的水管理体系</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_Toc41928836 \h </w:instrText>
      </w:r>
      <w:r>
        <w:rPr>
          <w:rFonts w:ascii="Times New Roman" w:eastAsia="仿宋"/>
          <w:color w:val="000000"/>
          <w:sz w:val="28"/>
          <w:szCs w:val="28"/>
        </w:rPr>
        <w:fldChar w:fldCharType="separate"/>
      </w:r>
      <w:r>
        <w:rPr>
          <w:rFonts w:ascii="Times New Roman" w:eastAsia="仿宋"/>
          <w:color w:val="000000"/>
          <w:sz w:val="28"/>
          <w:szCs w:val="28"/>
        </w:rPr>
        <w:t>22</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"_Toc41928837" </w:instrText>
      </w:r>
      <w:r>
        <w:fldChar w:fldCharType="separate"/>
      </w:r>
      <w:r>
        <w:rPr>
          <w:rStyle w:val="26"/>
          <w:rFonts w:hint="eastAsia" w:ascii="Times New Roman" w:eastAsia="仿宋"/>
          <w:color w:val="000000"/>
          <w:sz w:val="28"/>
          <w:szCs w:val="28"/>
        </w:rPr>
        <w:t>（七）建立改革有力、推进有效的发展保障体系</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_Toc41928837 \h </w:instrText>
      </w:r>
      <w:r>
        <w:rPr>
          <w:rFonts w:ascii="Times New Roman" w:eastAsia="仿宋"/>
          <w:color w:val="000000"/>
          <w:sz w:val="28"/>
          <w:szCs w:val="28"/>
        </w:rPr>
        <w:fldChar w:fldCharType="separate"/>
      </w:r>
      <w:r>
        <w:rPr>
          <w:rFonts w:ascii="Times New Roman" w:eastAsia="仿宋"/>
          <w:color w:val="000000"/>
          <w:sz w:val="28"/>
          <w:szCs w:val="28"/>
        </w:rPr>
        <w:t>24</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18"/>
        <w:adjustRightInd w:val="0"/>
        <w:spacing w:line="360" w:lineRule="exact"/>
        <w:ind w:firstLine="31680"/>
        <w:rPr>
          <w:rFonts w:ascii="Times New Roman"/>
          <w:color w:val="000000"/>
          <w:sz w:val="32"/>
          <w:szCs w:val="36"/>
        </w:rPr>
      </w:pPr>
      <w:r>
        <w:fldChar w:fldCharType="begin"/>
      </w:r>
      <w:r>
        <w:instrText xml:space="preserve"> HYPERLINK \l "_Toc41928838" </w:instrText>
      </w:r>
      <w:r>
        <w:fldChar w:fldCharType="separate"/>
      </w:r>
      <w:r>
        <w:rPr>
          <w:rStyle w:val="26"/>
          <w:rFonts w:hint="eastAsia" w:ascii="Times New Roman" w:eastAsia="仿宋"/>
          <w:color w:val="000000"/>
          <w:sz w:val="28"/>
          <w:szCs w:val="28"/>
        </w:rPr>
        <w:t>四、投资规模和用地需求</w:t>
      </w:r>
      <w:r>
        <w:rPr>
          <w:rFonts w:ascii="Times New Roman"/>
          <w:color w:val="000000"/>
          <w:sz w:val="24"/>
          <w:szCs w:val="24"/>
        </w:rPr>
        <w:tab/>
      </w:r>
      <w:r>
        <w:rPr>
          <w:rFonts w:ascii="Times New Roman"/>
          <w:color w:val="000000"/>
          <w:sz w:val="24"/>
          <w:szCs w:val="24"/>
        </w:rPr>
        <w:fldChar w:fldCharType="begin"/>
      </w:r>
      <w:r>
        <w:rPr>
          <w:rFonts w:ascii="Times New Roman"/>
          <w:color w:val="000000"/>
          <w:sz w:val="24"/>
          <w:szCs w:val="24"/>
        </w:rPr>
        <w:instrText xml:space="preserve"> PAGEREF _Toc41928838 \h </w:instrText>
      </w:r>
      <w:r>
        <w:rPr>
          <w:rFonts w:ascii="Times New Roman"/>
          <w:color w:val="000000"/>
          <w:sz w:val="24"/>
          <w:szCs w:val="24"/>
        </w:rPr>
        <w:fldChar w:fldCharType="separate"/>
      </w:r>
      <w:r>
        <w:rPr>
          <w:rFonts w:ascii="Times New Roman"/>
          <w:color w:val="000000"/>
          <w:sz w:val="24"/>
          <w:szCs w:val="24"/>
        </w:rPr>
        <w:t>25</w:t>
      </w:r>
      <w:r>
        <w:rPr>
          <w:rFonts w:ascii="Times New Roman"/>
          <w:color w:val="000000"/>
          <w:sz w:val="24"/>
          <w:szCs w:val="24"/>
        </w:rPr>
        <w:fldChar w:fldCharType="end"/>
      </w:r>
      <w:r>
        <w:rPr>
          <w:rFonts w:ascii="Times New Roman"/>
          <w:color w:val="000000"/>
          <w:sz w:val="24"/>
          <w:szCs w:val="24"/>
        </w:rPr>
        <w:fldChar w:fldCharType="end"/>
      </w:r>
    </w:p>
    <w:p>
      <w:pPr>
        <w:pStyle w:val="18"/>
        <w:adjustRightInd w:val="0"/>
        <w:spacing w:line="360" w:lineRule="exact"/>
        <w:ind w:firstLine="31680"/>
        <w:rPr>
          <w:rFonts w:ascii="Times New Roman"/>
          <w:color w:val="000000"/>
          <w:sz w:val="32"/>
          <w:szCs w:val="36"/>
        </w:rPr>
      </w:pPr>
      <w:r>
        <w:fldChar w:fldCharType="begin"/>
      </w:r>
      <w:r>
        <w:instrText xml:space="preserve"> HYPERLINK \l "_Toc41928839" </w:instrText>
      </w:r>
      <w:r>
        <w:fldChar w:fldCharType="separate"/>
      </w:r>
      <w:r>
        <w:rPr>
          <w:rStyle w:val="26"/>
          <w:rFonts w:hint="eastAsia" w:ascii="Times New Roman" w:eastAsia="仿宋"/>
          <w:color w:val="000000"/>
          <w:sz w:val="28"/>
          <w:szCs w:val="28"/>
        </w:rPr>
        <w:t>五、环境影响分析</w:t>
      </w:r>
      <w:r>
        <w:rPr>
          <w:rFonts w:ascii="Times New Roman"/>
          <w:color w:val="000000"/>
          <w:sz w:val="24"/>
          <w:szCs w:val="24"/>
        </w:rPr>
        <w:tab/>
      </w:r>
      <w:r>
        <w:rPr>
          <w:rFonts w:ascii="Times New Roman"/>
          <w:color w:val="000000"/>
          <w:sz w:val="24"/>
          <w:szCs w:val="24"/>
        </w:rPr>
        <w:fldChar w:fldCharType="begin"/>
      </w:r>
      <w:r>
        <w:rPr>
          <w:rFonts w:ascii="Times New Roman"/>
          <w:color w:val="000000"/>
          <w:sz w:val="24"/>
          <w:szCs w:val="24"/>
        </w:rPr>
        <w:instrText xml:space="preserve"> PAGEREF _Toc41928839 \h </w:instrText>
      </w:r>
      <w:r>
        <w:rPr>
          <w:rFonts w:ascii="Times New Roman"/>
          <w:color w:val="000000"/>
          <w:sz w:val="24"/>
          <w:szCs w:val="24"/>
        </w:rPr>
        <w:fldChar w:fldCharType="separate"/>
      </w:r>
      <w:r>
        <w:rPr>
          <w:rFonts w:ascii="Times New Roman"/>
          <w:color w:val="000000"/>
          <w:sz w:val="24"/>
          <w:szCs w:val="24"/>
        </w:rPr>
        <w:t>26</w:t>
      </w:r>
      <w:r>
        <w:rPr>
          <w:rFonts w:ascii="Times New Roman"/>
          <w:color w:val="000000"/>
          <w:sz w:val="24"/>
          <w:szCs w:val="24"/>
        </w:rPr>
        <w:fldChar w:fldCharType="end"/>
      </w:r>
      <w:r>
        <w:rPr>
          <w:rFonts w:ascii="Times New Roman"/>
          <w:color w:val="000000"/>
          <w:sz w:val="24"/>
          <w:szCs w:val="24"/>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"_Toc41928840" </w:instrText>
      </w:r>
      <w:r>
        <w:fldChar w:fldCharType="separate"/>
      </w:r>
      <w:r>
        <w:rPr>
          <w:rStyle w:val="26"/>
          <w:rFonts w:hint="eastAsia" w:ascii="Times New Roman" w:eastAsia="仿宋"/>
          <w:color w:val="000000"/>
          <w:sz w:val="28"/>
          <w:szCs w:val="28"/>
        </w:rPr>
        <w:t>（一）规划工程环境影响</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_Toc41928840 \h </w:instrText>
      </w:r>
      <w:r>
        <w:rPr>
          <w:rFonts w:ascii="Times New Roman" w:eastAsia="仿宋"/>
          <w:color w:val="000000"/>
          <w:sz w:val="28"/>
          <w:szCs w:val="28"/>
        </w:rPr>
        <w:fldChar w:fldCharType="separate"/>
      </w:r>
      <w:r>
        <w:rPr>
          <w:rFonts w:ascii="Times New Roman" w:eastAsia="仿宋"/>
          <w:color w:val="000000"/>
          <w:sz w:val="28"/>
          <w:szCs w:val="28"/>
        </w:rPr>
        <w:t>26</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"_Toc41928841" </w:instrText>
      </w:r>
      <w:r>
        <w:fldChar w:fldCharType="separate"/>
      </w:r>
      <w:r>
        <w:rPr>
          <w:rStyle w:val="26"/>
          <w:rFonts w:hint="eastAsia" w:ascii="Times New Roman" w:eastAsia="仿宋"/>
          <w:color w:val="000000"/>
          <w:sz w:val="28"/>
          <w:szCs w:val="28"/>
        </w:rPr>
        <w:t>（二）环境保护措施</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_Toc41928841 \h </w:instrText>
      </w:r>
      <w:r>
        <w:rPr>
          <w:rFonts w:ascii="Times New Roman" w:eastAsia="仿宋"/>
          <w:color w:val="000000"/>
          <w:sz w:val="28"/>
          <w:szCs w:val="28"/>
        </w:rPr>
        <w:fldChar w:fldCharType="separate"/>
      </w:r>
      <w:r>
        <w:rPr>
          <w:rFonts w:ascii="Times New Roman" w:eastAsia="仿宋"/>
          <w:color w:val="000000"/>
          <w:sz w:val="28"/>
          <w:szCs w:val="28"/>
        </w:rPr>
        <w:t>27</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"_Toc41928842" </w:instrText>
      </w:r>
      <w:r>
        <w:fldChar w:fldCharType="separate"/>
      </w:r>
      <w:r>
        <w:rPr>
          <w:rStyle w:val="26"/>
          <w:rFonts w:hint="eastAsia" w:ascii="Times New Roman" w:eastAsia="仿宋"/>
          <w:color w:val="000000"/>
          <w:sz w:val="28"/>
          <w:szCs w:val="28"/>
        </w:rPr>
        <w:t>（三）环境影响评价结论</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_Toc41928842 \h </w:instrText>
      </w:r>
      <w:r>
        <w:rPr>
          <w:rFonts w:ascii="Times New Roman" w:eastAsia="仿宋"/>
          <w:color w:val="000000"/>
          <w:sz w:val="28"/>
          <w:szCs w:val="28"/>
        </w:rPr>
        <w:fldChar w:fldCharType="separate"/>
      </w:r>
      <w:r>
        <w:rPr>
          <w:rFonts w:ascii="Times New Roman" w:eastAsia="仿宋"/>
          <w:color w:val="000000"/>
          <w:sz w:val="28"/>
          <w:szCs w:val="28"/>
        </w:rPr>
        <w:t>27</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18"/>
        <w:adjustRightInd w:val="0"/>
        <w:spacing w:line="360" w:lineRule="exact"/>
        <w:ind w:firstLine="31680"/>
        <w:rPr>
          <w:rFonts w:ascii="Times New Roman"/>
          <w:color w:val="000000"/>
          <w:sz w:val="32"/>
          <w:szCs w:val="36"/>
        </w:rPr>
      </w:pPr>
      <w:r>
        <w:fldChar w:fldCharType="begin"/>
      </w:r>
      <w:r>
        <w:instrText xml:space="preserve"> HYPERLINK \l "_Toc41928843" </w:instrText>
      </w:r>
      <w:r>
        <w:fldChar w:fldCharType="separate"/>
      </w:r>
      <w:r>
        <w:rPr>
          <w:rStyle w:val="26"/>
          <w:rFonts w:hint="eastAsia" w:ascii="Times New Roman" w:eastAsia="仿宋"/>
          <w:color w:val="000000"/>
          <w:sz w:val="28"/>
          <w:szCs w:val="28"/>
        </w:rPr>
        <w:t>六、保障措施</w:t>
      </w:r>
      <w:r>
        <w:rPr>
          <w:rFonts w:ascii="Times New Roman"/>
          <w:color w:val="000000"/>
          <w:sz w:val="24"/>
          <w:szCs w:val="24"/>
        </w:rPr>
        <w:tab/>
      </w:r>
      <w:r>
        <w:rPr>
          <w:rFonts w:ascii="Times New Roman"/>
          <w:color w:val="000000"/>
          <w:sz w:val="24"/>
          <w:szCs w:val="24"/>
        </w:rPr>
        <w:fldChar w:fldCharType="begin"/>
      </w:r>
      <w:r>
        <w:rPr>
          <w:rFonts w:ascii="Times New Roman"/>
          <w:color w:val="000000"/>
          <w:sz w:val="24"/>
          <w:szCs w:val="24"/>
        </w:rPr>
        <w:instrText xml:space="preserve"> PAGEREF _Toc41928843 \h </w:instrText>
      </w:r>
      <w:r>
        <w:rPr>
          <w:rFonts w:ascii="Times New Roman"/>
          <w:color w:val="000000"/>
          <w:sz w:val="24"/>
          <w:szCs w:val="24"/>
        </w:rPr>
        <w:fldChar w:fldCharType="separate"/>
      </w:r>
      <w:r>
        <w:rPr>
          <w:rFonts w:ascii="Times New Roman"/>
          <w:color w:val="000000"/>
          <w:sz w:val="24"/>
          <w:szCs w:val="24"/>
        </w:rPr>
        <w:t>27</w:t>
      </w:r>
      <w:r>
        <w:rPr>
          <w:rFonts w:ascii="Times New Roman"/>
          <w:color w:val="000000"/>
          <w:sz w:val="24"/>
          <w:szCs w:val="24"/>
        </w:rPr>
        <w:fldChar w:fldCharType="end"/>
      </w:r>
      <w:r>
        <w:rPr>
          <w:rFonts w:ascii="Times New Roman"/>
          <w:color w:val="000000"/>
          <w:sz w:val="24"/>
          <w:szCs w:val="24"/>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"_Toc41928844" </w:instrText>
      </w:r>
      <w:r>
        <w:fldChar w:fldCharType="separate"/>
      </w:r>
      <w:r>
        <w:rPr>
          <w:rStyle w:val="26"/>
          <w:rFonts w:hint="eastAsia" w:ascii="Times New Roman" w:eastAsia="仿宋"/>
          <w:color w:val="000000"/>
          <w:sz w:val="28"/>
          <w:szCs w:val="28"/>
        </w:rPr>
        <w:t>（一）加强组织领导</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_Toc41928844 \h </w:instrText>
      </w:r>
      <w:r>
        <w:rPr>
          <w:rFonts w:ascii="Times New Roman" w:eastAsia="仿宋"/>
          <w:color w:val="000000"/>
          <w:sz w:val="28"/>
          <w:szCs w:val="28"/>
        </w:rPr>
        <w:fldChar w:fldCharType="separate"/>
      </w:r>
      <w:r>
        <w:rPr>
          <w:rFonts w:ascii="Times New Roman" w:eastAsia="仿宋"/>
          <w:color w:val="000000"/>
          <w:sz w:val="28"/>
          <w:szCs w:val="28"/>
        </w:rPr>
        <w:t>27</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"_Toc41928845" </w:instrText>
      </w:r>
      <w:r>
        <w:fldChar w:fldCharType="separate"/>
      </w:r>
      <w:r>
        <w:rPr>
          <w:rStyle w:val="26"/>
          <w:rFonts w:hint="eastAsia" w:ascii="Times New Roman" w:eastAsia="仿宋"/>
          <w:color w:val="000000"/>
          <w:sz w:val="28"/>
          <w:szCs w:val="28"/>
        </w:rPr>
        <w:t>（二）加强前期工作</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_Toc41928845 \h </w:instrText>
      </w:r>
      <w:r>
        <w:rPr>
          <w:rFonts w:ascii="Times New Roman" w:eastAsia="仿宋"/>
          <w:color w:val="000000"/>
          <w:sz w:val="28"/>
          <w:szCs w:val="28"/>
        </w:rPr>
        <w:fldChar w:fldCharType="separate"/>
      </w:r>
      <w:r>
        <w:rPr>
          <w:rFonts w:ascii="Times New Roman" w:eastAsia="仿宋"/>
          <w:color w:val="000000"/>
          <w:sz w:val="28"/>
          <w:szCs w:val="28"/>
        </w:rPr>
        <w:t>28</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"_Toc41928846" </w:instrText>
      </w:r>
      <w:r>
        <w:fldChar w:fldCharType="separate"/>
      </w:r>
      <w:r>
        <w:rPr>
          <w:rStyle w:val="26"/>
          <w:rFonts w:hint="eastAsia" w:ascii="Times New Roman" w:eastAsia="仿宋"/>
          <w:color w:val="000000"/>
          <w:sz w:val="28"/>
          <w:szCs w:val="28"/>
        </w:rPr>
        <w:t>（三）加大水利投入</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_Toc41928846 \h </w:instrText>
      </w:r>
      <w:r>
        <w:rPr>
          <w:rFonts w:ascii="Times New Roman" w:eastAsia="仿宋"/>
          <w:color w:val="000000"/>
          <w:sz w:val="28"/>
          <w:szCs w:val="28"/>
        </w:rPr>
        <w:fldChar w:fldCharType="separate"/>
      </w:r>
      <w:r>
        <w:rPr>
          <w:rFonts w:ascii="Times New Roman" w:eastAsia="仿宋"/>
          <w:color w:val="000000"/>
          <w:sz w:val="28"/>
          <w:szCs w:val="28"/>
        </w:rPr>
        <w:t>28</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"_Toc41928847" </w:instrText>
      </w:r>
      <w:r>
        <w:fldChar w:fldCharType="separate"/>
      </w:r>
      <w:r>
        <w:rPr>
          <w:rStyle w:val="26"/>
          <w:rFonts w:hint="eastAsia" w:ascii="Times New Roman" w:eastAsia="仿宋"/>
          <w:color w:val="000000"/>
          <w:sz w:val="28"/>
          <w:szCs w:val="28"/>
        </w:rPr>
        <w:t>（四）强化人才支撑</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_Toc41928847 \h </w:instrText>
      </w:r>
      <w:r>
        <w:rPr>
          <w:rFonts w:ascii="Times New Roman" w:eastAsia="仿宋"/>
          <w:color w:val="000000"/>
          <w:sz w:val="28"/>
          <w:szCs w:val="28"/>
        </w:rPr>
        <w:fldChar w:fldCharType="separate"/>
      </w:r>
      <w:r>
        <w:rPr>
          <w:rFonts w:ascii="Times New Roman" w:eastAsia="仿宋"/>
          <w:color w:val="000000"/>
          <w:sz w:val="28"/>
          <w:szCs w:val="28"/>
        </w:rPr>
        <w:t>29</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21"/>
        <w:tabs>
          <w:tab w:val="right" w:leader="dot" w:pos="8296"/>
        </w:tabs>
        <w:adjustRightInd w:val="0"/>
        <w:spacing w:line="360" w:lineRule="exact"/>
        <w:ind w:firstLine="31680"/>
        <w:rPr>
          <w:rFonts w:ascii="Times New Roman" w:eastAsia="仿宋"/>
          <w:smallCaps w:val="0"/>
          <w:color w:val="000000"/>
          <w:sz w:val="32"/>
          <w:szCs w:val="36"/>
        </w:rPr>
      </w:pPr>
      <w:r>
        <w:fldChar w:fldCharType="begin"/>
      </w:r>
      <w:r>
        <w:instrText xml:space="preserve"> HYPERLINK \l "_Toc41928848" </w:instrText>
      </w:r>
      <w:r>
        <w:fldChar w:fldCharType="separate"/>
      </w:r>
      <w:r>
        <w:rPr>
          <w:rStyle w:val="26"/>
          <w:rFonts w:hint="eastAsia" w:ascii="Times New Roman" w:eastAsia="仿宋"/>
          <w:color w:val="000000"/>
          <w:sz w:val="28"/>
          <w:szCs w:val="28"/>
        </w:rPr>
        <w:t>（五）强化科技引领</w:t>
      </w:r>
      <w:r>
        <w:rPr>
          <w:rFonts w:ascii="Times New Roman" w:eastAsia="仿宋"/>
          <w:color w:val="000000"/>
          <w:sz w:val="28"/>
          <w:szCs w:val="28"/>
        </w:rPr>
        <w:tab/>
      </w:r>
      <w:r>
        <w:rPr>
          <w:rFonts w:ascii="Times New Roman" w:eastAsia="仿宋"/>
          <w:color w:val="000000"/>
          <w:sz w:val="28"/>
          <w:szCs w:val="28"/>
        </w:rPr>
        <w:fldChar w:fldCharType="begin"/>
      </w:r>
      <w:r>
        <w:rPr>
          <w:rFonts w:ascii="Times New Roman" w:eastAsia="仿宋"/>
          <w:color w:val="000000"/>
          <w:sz w:val="28"/>
          <w:szCs w:val="28"/>
        </w:rPr>
        <w:instrText xml:space="preserve"> PAGEREF _Toc41928848 \h </w:instrText>
      </w:r>
      <w:r>
        <w:rPr>
          <w:rFonts w:ascii="Times New Roman" w:eastAsia="仿宋"/>
          <w:color w:val="000000"/>
          <w:sz w:val="28"/>
          <w:szCs w:val="28"/>
        </w:rPr>
        <w:fldChar w:fldCharType="separate"/>
      </w:r>
      <w:r>
        <w:rPr>
          <w:rFonts w:ascii="Times New Roman" w:eastAsia="仿宋"/>
          <w:color w:val="000000"/>
          <w:sz w:val="28"/>
          <w:szCs w:val="28"/>
        </w:rPr>
        <w:t>29</w:t>
      </w:r>
      <w:r>
        <w:rPr>
          <w:rFonts w:ascii="Times New Roman" w:eastAsia="仿宋"/>
          <w:color w:val="000000"/>
          <w:sz w:val="28"/>
          <w:szCs w:val="28"/>
        </w:rPr>
        <w:fldChar w:fldCharType="end"/>
      </w:r>
      <w:r>
        <w:rPr>
          <w:rFonts w:ascii="Times New Roman" w:eastAsia="仿宋"/>
          <w:color w:val="000000"/>
          <w:sz w:val="28"/>
          <w:szCs w:val="28"/>
        </w:rPr>
        <w:fldChar w:fldCharType="end"/>
      </w:r>
    </w:p>
    <w:p>
      <w:pPr>
        <w:pStyle w:val="18"/>
        <w:adjustRightInd w:val="0"/>
        <w:spacing w:line="360" w:lineRule="exact"/>
        <w:ind w:firstLine="31680"/>
        <w:rPr>
          <w:rFonts w:ascii="Times New Roman"/>
          <w:color w:val="000000"/>
          <w:sz w:val="32"/>
          <w:szCs w:val="36"/>
        </w:rPr>
      </w:pPr>
      <w:r>
        <w:fldChar w:fldCharType="begin"/>
      </w:r>
      <w:r>
        <w:instrText xml:space="preserve"> HYPERLINK \l "_Toc41928849" </w:instrText>
      </w:r>
      <w:r>
        <w:fldChar w:fldCharType="separate"/>
      </w:r>
      <w:r>
        <w:rPr>
          <w:rStyle w:val="26"/>
          <w:rFonts w:hint="eastAsia" w:ascii="Times New Roman" w:eastAsia="仿宋"/>
          <w:color w:val="000000"/>
          <w:sz w:val="28"/>
          <w:szCs w:val="28"/>
        </w:rPr>
        <w:t>附件</w:t>
      </w:r>
      <w:r>
        <w:rPr>
          <w:rStyle w:val="26"/>
          <w:rFonts w:ascii="Times New Roman" w:eastAsia="仿宋"/>
          <w:color w:val="000000"/>
          <w:sz w:val="28"/>
          <w:szCs w:val="28"/>
        </w:rPr>
        <w:t xml:space="preserve">1  </w:t>
      </w:r>
      <w:r>
        <w:rPr>
          <w:rStyle w:val="26"/>
          <w:rFonts w:hint="eastAsia" w:ascii="Times New Roman" w:eastAsia="仿宋"/>
          <w:color w:val="000000"/>
          <w:sz w:val="28"/>
          <w:szCs w:val="28"/>
        </w:rPr>
        <w:t>泰州市</w:t>
      </w:r>
      <w:r>
        <w:rPr>
          <w:rStyle w:val="26"/>
          <w:rFonts w:ascii="Times New Roman" w:eastAsia="仿宋"/>
          <w:color w:val="000000"/>
          <w:sz w:val="28"/>
          <w:szCs w:val="28"/>
        </w:rPr>
        <w:t>2021-2025</w:t>
      </w:r>
      <w:r>
        <w:rPr>
          <w:rStyle w:val="26"/>
          <w:rFonts w:hint="eastAsia" w:ascii="Times New Roman" w:eastAsia="仿宋"/>
          <w:color w:val="000000"/>
          <w:sz w:val="28"/>
          <w:szCs w:val="28"/>
        </w:rPr>
        <w:t>年水利发展规划目标表</w:t>
      </w:r>
      <w:r>
        <w:rPr>
          <w:rFonts w:ascii="Times New Roman"/>
          <w:color w:val="000000"/>
          <w:sz w:val="24"/>
          <w:szCs w:val="24"/>
        </w:rPr>
        <w:tab/>
      </w:r>
      <w:r>
        <w:rPr>
          <w:rFonts w:ascii="Times New Roman"/>
          <w:color w:val="000000"/>
          <w:sz w:val="24"/>
          <w:szCs w:val="24"/>
        </w:rPr>
        <w:fldChar w:fldCharType="begin"/>
      </w:r>
      <w:r>
        <w:rPr>
          <w:rFonts w:ascii="Times New Roman"/>
          <w:color w:val="000000"/>
          <w:sz w:val="24"/>
          <w:szCs w:val="24"/>
        </w:rPr>
        <w:instrText xml:space="preserve"> PAGEREF _Toc41928849 \h </w:instrText>
      </w:r>
      <w:r>
        <w:rPr>
          <w:rFonts w:ascii="Times New Roman"/>
          <w:color w:val="000000"/>
          <w:sz w:val="24"/>
          <w:szCs w:val="24"/>
        </w:rPr>
        <w:fldChar w:fldCharType="separate"/>
      </w:r>
      <w:r>
        <w:rPr>
          <w:rFonts w:ascii="Times New Roman"/>
          <w:color w:val="000000"/>
          <w:sz w:val="24"/>
          <w:szCs w:val="24"/>
        </w:rPr>
        <w:t>31</w:t>
      </w:r>
      <w:r>
        <w:rPr>
          <w:rFonts w:ascii="Times New Roman"/>
          <w:color w:val="000000"/>
          <w:sz w:val="24"/>
          <w:szCs w:val="24"/>
        </w:rPr>
        <w:fldChar w:fldCharType="end"/>
      </w:r>
      <w:r>
        <w:rPr>
          <w:rFonts w:ascii="Times New Roman"/>
          <w:color w:val="000000"/>
          <w:sz w:val="24"/>
          <w:szCs w:val="24"/>
        </w:rPr>
        <w:fldChar w:fldCharType="end"/>
      </w:r>
    </w:p>
    <w:p>
      <w:pPr>
        <w:pStyle w:val="18"/>
        <w:adjustRightInd w:val="0"/>
        <w:spacing w:line="360" w:lineRule="exact"/>
        <w:ind w:firstLine="31680"/>
        <w:rPr>
          <w:color w:val="000000"/>
        </w:rPr>
      </w:pPr>
      <w:r>
        <w:fldChar w:fldCharType="begin"/>
      </w:r>
      <w:r>
        <w:instrText xml:space="preserve"> HYPERLINK \l "_Toc41928850" </w:instrText>
      </w:r>
      <w:r>
        <w:fldChar w:fldCharType="separate"/>
      </w:r>
      <w:r>
        <w:rPr>
          <w:rStyle w:val="26"/>
          <w:rFonts w:hint="eastAsia" w:ascii="Times New Roman" w:eastAsia="仿宋"/>
          <w:color w:val="000000"/>
          <w:sz w:val="28"/>
          <w:szCs w:val="28"/>
        </w:rPr>
        <w:t>附件</w:t>
      </w:r>
      <w:r>
        <w:rPr>
          <w:rStyle w:val="26"/>
          <w:rFonts w:ascii="Times New Roman" w:eastAsia="仿宋"/>
          <w:color w:val="000000"/>
          <w:sz w:val="28"/>
          <w:szCs w:val="28"/>
        </w:rPr>
        <w:t xml:space="preserve">2  </w:t>
      </w:r>
      <w:r>
        <w:rPr>
          <w:rStyle w:val="26"/>
          <w:rFonts w:hint="eastAsia" w:ascii="Times New Roman" w:eastAsia="仿宋"/>
          <w:color w:val="000000"/>
          <w:sz w:val="28"/>
          <w:szCs w:val="28"/>
        </w:rPr>
        <w:t>泰州市</w:t>
      </w:r>
      <w:r>
        <w:rPr>
          <w:rStyle w:val="26"/>
          <w:rFonts w:ascii="Times New Roman" w:eastAsia="仿宋"/>
          <w:color w:val="000000"/>
          <w:sz w:val="28"/>
          <w:szCs w:val="28"/>
        </w:rPr>
        <w:t>2021-2025</w:t>
      </w:r>
      <w:r>
        <w:rPr>
          <w:rStyle w:val="26"/>
          <w:rFonts w:hint="eastAsia" w:ascii="Times New Roman" w:eastAsia="仿宋"/>
          <w:color w:val="000000"/>
          <w:sz w:val="28"/>
          <w:szCs w:val="28"/>
        </w:rPr>
        <w:t>年水利发展重点工程项目表</w:t>
      </w:r>
      <w:r>
        <w:rPr>
          <w:rFonts w:ascii="Times New Roman"/>
          <w:color w:val="000000"/>
          <w:sz w:val="24"/>
          <w:szCs w:val="24"/>
        </w:rPr>
        <w:tab/>
      </w:r>
      <w:r>
        <w:rPr>
          <w:rFonts w:ascii="Times New Roman"/>
          <w:color w:val="000000"/>
          <w:sz w:val="24"/>
          <w:szCs w:val="24"/>
        </w:rPr>
        <w:fldChar w:fldCharType="begin"/>
      </w:r>
      <w:r>
        <w:rPr>
          <w:rFonts w:ascii="Times New Roman"/>
          <w:color w:val="000000"/>
          <w:sz w:val="24"/>
          <w:szCs w:val="24"/>
        </w:rPr>
        <w:instrText xml:space="preserve"> PAGEREF _Toc41928850 \h </w:instrText>
      </w:r>
      <w:r>
        <w:rPr>
          <w:rFonts w:ascii="Times New Roman"/>
          <w:color w:val="000000"/>
          <w:sz w:val="24"/>
          <w:szCs w:val="24"/>
        </w:rPr>
        <w:fldChar w:fldCharType="separate"/>
      </w:r>
      <w:r>
        <w:rPr>
          <w:rFonts w:ascii="Times New Roman"/>
          <w:color w:val="000000"/>
          <w:sz w:val="24"/>
          <w:szCs w:val="24"/>
        </w:rPr>
        <w:t>32</w:t>
      </w:r>
      <w:r>
        <w:rPr>
          <w:rFonts w:ascii="Times New Roman"/>
          <w:color w:val="000000"/>
          <w:sz w:val="24"/>
          <w:szCs w:val="24"/>
        </w:rPr>
        <w:fldChar w:fldCharType="end"/>
      </w:r>
      <w:r>
        <w:rPr>
          <w:rFonts w:ascii="Times New Roman"/>
          <w:color w:val="000000"/>
          <w:sz w:val="24"/>
          <w:szCs w:val="24"/>
        </w:rPr>
        <w:fldChar w:fldCharType="end"/>
      </w:r>
      <w:r>
        <w:rPr>
          <w:rFonts w:ascii="Times New Roman"/>
          <w:color w:val="000000"/>
          <w:sz w:val="40"/>
          <w:szCs w:val="40"/>
        </w:rPr>
        <w:fldChar w:fldCharType="end"/>
      </w:r>
    </w:p>
    <w:p>
      <w:pPr>
        <w:ind w:firstLine="31680"/>
        <w:rPr>
          <w:color w:val="000000"/>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pgNumType w:start="1"/>
          <w:cols w:space="425" w:num="1"/>
          <w:docGrid w:type="lines" w:linePitch="312" w:charSpace="0"/>
        </w:sectPr>
      </w:pPr>
      <w:bookmarkStart w:id="2" w:name="_Toc21704972"/>
    </w:p>
    <w:p>
      <w:pPr>
        <w:ind w:firstLine="31680"/>
        <w:rPr>
          <w:color w:val="000000"/>
        </w:rPr>
      </w:pPr>
      <w:r>
        <w:rPr>
          <w:rFonts w:hint="eastAsia"/>
          <w:color w:val="000000"/>
        </w:rPr>
        <w:t>《泰州市</w:t>
      </w:r>
      <w:r>
        <w:rPr>
          <w:color w:val="000000"/>
        </w:rPr>
        <w:t>2021~2025</w:t>
      </w:r>
      <w:r>
        <w:rPr>
          <w:rFonts w:hint="eastAsia"/>
          <w:color w:val="000000"/>
        </w:rPr>
        <w:t>年水利发展规划》依据《泰州市国民经济和社会发展第十四个五年规划纲要》和《江苏省“十四五”水利发展规划》编制，是全市国民经济和社会发展“十四五”规划体系中的重点专项规划之一，也是“十四五”时期全市水利发展改革的重要依据。</w:t>
      </w:r>
    </w:p>
    <w:p>
      <w:pPr>
        <w:pStyle w:val="2"/>
        <w:ind w:firstLine="31680"/>
        <w:rPr>
          <w:color w:val="000000"/>
        </w:rPr>
      </w:pPr>
      <w:bookmarkStart w:id="3" w:name="_Toc41928822"/>
      <w:r>
        <w:rPr>
          <w:rFonts w:hint="eastAsia"/>
          <w:color w:val="000000"/>
        </w:rPr>
        <w:t>一、</w:t>
      </w:r>
      <w:bookmarkEnd w:id="2"/>
      <w:r>
        <w:rPr>
          <w:rFonts w:hint="eastAsia"/>
          <w:color w:val="000000"/>
        </w:rPr>
        <w:t>发展基础</w:t>
      </w:r>
      <w:bookmarkEnd w:id="3"/>
    </w:p>
    <w:p>
      <w:pPr>
        <w:pStyle w:val="3"/>
        <w:ind w:firstLine="31680"/>
        <w:rPr>
          <w:color w:val="000000"/>
        </w:rPr>
      </w:pPr>
      <w:bookmarkStart w:id="4" w:name="_Toc41928823"/>
      <w:r>
        <w:rPr>
          <w:rFonts w:hint="eastAsia"/>
          <w:color w:val="000000"/>
        </w:rPr>
        <w:t>（一）发展成就</w:t>
      </w:r>
      <w:bookmarkEnd w:id="4"/>
    </w:p>
    <w:p>
      <w:pPr>
        <w:ind w:firstLine="31680"/>
        <w:rPr>
          <w:color w:val="000000"/>
        </w:rPr>
      </w:pPr>
      <w:r>
        <w:rPr>
          <w:rFonts w:hint="eastAsia"/>
          <w:color w:val="000000"/>
        </w:rPr>
        <w:t>“十三五”期间，全市水利工作围绕全面建成小康社会和“四个名城”建设经济社会发展目标，积极践行习近平新时代治水方针，不断加快水利建设、强化水利管理、深化水利改革，累计投入各类水利资金</w:t>
      </w:r>
      <w:r>
        <w:rPr>
          <w:color w:val="000000"/>
        </w:rPr>
        <w:t>112</w:t>
      </w:r>
      <w:r>
        <w:rPr>
          <w:rFonts w:hint="eastAsia"/>
          <w:color w:val="000000"/>
        </w:rPr>
        <w:t>亿元，圆满完成了“十三五”规划确定的主要目标和任务，水利发展取得显著成效，为全市经济社会发展奠定了坚实的水利基础。</w:t>
      </w:r>
    </w:p>
    <w:p>
      <w:pPr>
        <w:pStyle w:val="4"/>
        <w:ind w:firstLine="31680"/>
        <w:rPr>
          <w:color w:val="000000"/>
        </w:rPr>
      </w:pPr>
      <w:r>
        <w:rPr>
          <w:color w:val="000000"/>
        </w:rPr>
        <w:t xml:space="preserve">1. </w:t>
      </w:r>
      <w:r>
        <w:rPr>
          <w:rFonts w:hint="eastAsia"/>
          <w:color w:val="000000"/>
        </w:rPr>
        <w:t>防洪排涝实现新跃升</w:t>
      </w:r>
    </w:p>
    <w:p>
      <w:pPr>
        <w:ind w:firstLine="31680"/>
        <w:rPr>
          <w:color w:val="000000"/>
        </w:rPr>
      </w:pPr>
      <w:bookmarkStart w:id="5" w:name="_Hlk32586439"/>
      <w:r>
        <w:rPr>
          <w:rStyle w:val="47"/>
          <w:rFonts w:hint="eastAsia"/>
          <w:color w:val="000000"/>
        </w:rPr>
        <w:t>一是</w:t>
      </w:r>
      <w:r>
        <w:rPr>
          <w:rFonts w:hint="eastAsia"/>
          <w:color w:val="000000"/>
        </w:rPr>
        <w:t>流域防洪全面加速。</w:t>
      </w:r>
      <w:bookmarkEnd w:id="5"/>
      <w:bookmarkStart w:id="6" w:name="_Hlk32584616"/>
      <w:bookmarkStart w:id="7" w:name="_Hlk32150827"/>
      <w:bookmarkStart w:id="8" w:name="_Hlk32584680"/>
      <w:r>
        <w:rPr>
          <w:rFonts w:hint="eastAsia"/>
          <w:color w:val="000000"/>
        </w:rPr>
        <w:t>淮河流域，完成</w:t>
      </w:r>
      <w:bookmarkStart w:id="9" w:name="_Hlk41923589"/>
      <w:r>
        <w:rPr>
          <w:rFonts w:hint="eastAsia"/>
          <w:color w:val="000000"/>
        </w:rPr>
        <w:t>卤汀河、泰东河、川东港和泰州引江河二期整治工程</w:t>
      </w:r>
      <w:bookmarkEnd w:id="9"/>
      <w:bookmarkStart w:id="10" w:name="_Hlk32151655"/>
      <w:r>
        <w:rPr>
          <w:rFonts w:hint="eastAsia"/>
          <w:color w:val="000000"/>
        </w:rPr>
        <w:t>，启动</w:t>
      </w:r>
      <w:bookmarkStart w:id="11" w:name="_Hlk32514992"/>
      <w:r>
        <w:rPr>
          <w:rFonts w:hint="eastAsia"/>
          <w:color w:val="000000"/>
        </w:rPr>
        <w:t>老</w:t>
      </w:r>
      <w:r>
        <w:rPr>
          <w:color w:val="000000"/>
        </w:rPr>
        <w:t>328</w:t>
      </w:r>
      <w:r>
        <w:rPr>
          <w:rFonts w:hint="eastAsia"/>
          <w:color w:val="000000"/>
        </w:rPr>
        <w:t>国道沿线控制建筑物除险加固工程</w:t>
      </w:r>
      <w:bookmarkEnd w:id="10"/>
      <w:bookmarkEnd w:id="11"/>
      <w:r>
        <w:rPr>
          <w:rFonts w:hint="eastAsia"/>
          <w:color w:val="000000"/>
        </w:rPr>
        <w:t>和下官河整治工程</w:t>
      </w:r>
      <w:bookmarkEnd w:id="6"/>
      <w:r>
        <w:rPr>
          <w:rFonts w:hint="eastAsia"/>
          <w:color w:val="000000"/>
        </w:rPr>
        <w:t>；长江流域，开展长江堤防防洪能力提升工程</w:t>
      </w:r>
      <w:bookmarkEnd w:id="7"/>
      <w:r>
        <w:rPr>
          <w:rFonts w:hint="eastAsia"/>
          <w:color w:val="000000"/>
        </w:rPr>
        <w:t>、扬中河段</w:t>
      </w:r>
      <w:bookmarkStart w:id="12" w:name="_Hlk41923615"/>
      <w:r>
        <w:rPr>
          <w:rFonts w:hint="eastAsia"/>
          <w:color w:val="000000"/>
          <w:szCs w:val="24"/>
        </w:rPr>
        <w:t>杨湾</w:t>
      </w:r>
      <w:bookmarkEnd w:id="12"/>
      <w:r>
        <w:rPr>
          <w:color w:val="000000"/>
          <w:szCs w:val="24"/>
        </w:rPr>
        <w:t>1.6km</w:t>
      </w:r>
      <w:r>
        <w:rPr>
          <w:rFonts w:hint="eastAsia"/>
          <w:color w:val="000000"/>
          <w:szCs w:val="24"/>
        </w:rPr>
        <w:t>和</w:t>
      </w:r>
      <w:bookmarkStart w:id="13" w:name="_Hlk41923620"/>
      <w:r>
        <w:rPr>
          <w:rFonts w:hint="eastAsia"/>
          <w:color w:val="000000"/>
          <w:szCs w:val="24"/>
        </w:rPr>
        <w:t>永长圩</w:t>
      </w:r>
      <w:bookmarkEnd w:id="13"/>
      <w:r>
        <w:rPr>
          <w:rFonts w:hint="eastAsia"/>
          <w:color w:val="000000"/>
          <w:szCs w:val="24"/>
        </w:rPr>
        <w:t>（高港</w:t>
      </w:r>
      <w:r>
        <w:rPr>
          <w:color w:val="000000"/>
          <w:szCs w:val="24"/>
        </w:rPr>
        <w:t>2.8km</w:t>
      </w:r>
      <w:r>
        <w:rPr>
          <w:rFonts w:hint="eastAsia"/>
          <w:color w:val="000000"/>
          <w:szCs w:val="24"/>
        </w:rPr>
        <w:t>泰兴</w:t>
      </w:r>
      <w:r>
        <w:rPr>
          <w:color w:val="000000"/>
          <w:szCs w:val="24"/>
        </w:rPr>
        <w:t>2.0km</w:t>
      </w:r>
      <w:bookmarkStart w:id="14" w:name="_Hlk41923623"/>
      <w:r>
        <w:rPr>
          <w:rFonts w:hint="eastAsia"/>
          <w:color w:val="000000"/>
        </w:rPr>
        <w:t>崩岸</w:t>
      </w:r>
      <w:bookmarkEnd w:id="14"/>
      <w:r>
        <w:rPr>
          <w:rFonts w:hint="eastAsia"/>
          <w:color w:val="000000"/>
        </w:rPr>
        <w:t>治理工程，完成天星洲汊道段综合整治工程。</w:t>
      </w:r>
      <w:bookmarkEnd w:id="8"/>
      <w:bookmarkStart w:id="15" w:name="_Hlk32586522"/>
      <w:r>
        <w:rPr>
          <w:rStyle w:val="47"/>
          <w:rFonts w:hint="eastAsia"/>
          <w:color w:val="000000"/>
        </w:rPr>
        <w:t>二是</w:t>
      </w:r>
      <w:r>
        <w:rPr>
          <w:rFonts w:hint="eastAsia"/>
          <w:color w:val="000000"/>
        </w:rPr>
        <w:t>区域治理工程有序推进。</w:t>
      </w:r>
      <w:bookmarkEnd w:id="15"/>
      <w:bookmarkStart w:id="16" w:name="_Hlk32585573"/>
      <w:r>
        <w:rPr>
          <w:rFonts w:hint="eastAsia"/>
          <w:color w:val="000000"/>
        </w:rPr>
        <w:t>基本完成马甸水利枢纽改建工程、</w:t>
      </w:r>
      <w:bookmarkStart w:id="17" w:name="_Hlk41923722"/>
      <w:r>
        <w:rPr>
          <w:rFonts w:hint="eastAsia"/>
          <w:color w:val="000000"/>
        </w:rPr>
        <w:t>东姜黄河、西姜黄河、靖泰界河、古马干河、蚌蜒河</w:t>
      </w:r>
      <w:bookmarkEnd w:id="17"/>
      <w:r>
        <w:rPr>
          <w:rFonts w:hint="eastAsia"/>
          <w:color w:val="000000"/>
        </w:rPr>
        <w:t>等骨干河道（段）整治工程，治理河道总长约</w:t>
      </w:r>
      <w:r>
        <w:rPr>
          <w:color w:val="000000"/>
        </w:rPr>
        <w:t>77</w:t>
      </w:r>
      <w:r>
        <w:rPr>
          <w:rFonts w:hint="eastAsia"/>
          <w:color w:val="000000"/>
        </w:rPr>
        <w:t>千米，启动古马干河（江口段）和如泰运河整治工程。</w:t>
      </w:r>
      <w:bookmarkEnd w:id="16"/>
      <w:bookmarkStart w:id="18" w:name="_Hlk32586578"/>
      <w:r>
        <w:rPr>
          <w:rStyle w:val="47"/>
          <w:rFonts w:hint="eastAsia"/>
          <w:color w:val="000000"/>
        </w:rPr>
        <w:t>三是</w:t>
      </w:r>
      <w:r>
        <w:rPr>
          <w:rFonts w:hint="eastAsia"/>
          <w:color w:val="000000"/>
        </w:rPr>
        <w:t>城市防洪排涝工程扎实开展。完成老通扬运河、周山河、凤凰河南延、前进河等骨干河道整治工程，完成宣堡港和许庄河控制工程、太平闸站、高港排涝站等重点控制建筑物工程，推进各市（区）城市防洪排涝工程建设。</w:t>
      </w:r>
      <w:bookmarkEnd w:id="18"/>
      <w:bookmarkStart w:id="19" w:name="_Toc364934750"/>
      <w:bookmarkStart w:id="20" w:name="_Toc403657167"/>
      <w:r>
        <w:rPr>
          <w:rFonts w:hint="eastAsia"/>
          <w:color w:val="000000"/>
        </w:rPr>
        <w:t>“十三五”期间，成功抗御了</w:t>
      </w:r>
      <w:r>
        <w:rPr>
          <w:color w:val="000000"/>
        </w:rPr>
        <w:t>2016</w:t>
      </w:r>
      <w:r>
        <w:rPr>
          <w:rFonts w:hint="eastAsia"/>
          <w:color w:val="000000"/>
        </w:rPr>
        <w:t>年长江流域性特大洪水、</w:t>
      </w:r>
      <w:r>
        <w:rPr>
          <w:color w:val="000000"/>
        </w:rPr>
        <w:t>2018</w:t>
      </w:r>
      <w:r>
        <w:rPr>
          <w:rFonts w:hint="eastAsia"/>
          <w:color w:val="000000"/>
        </w:rPr>
        <w:t>年台风“山竹”、</w:t>
      </w:r>
      <w:r>
        <w:rPr>
          <w:color w:val="000000"/>
        </w:rPr>
        <w:t>2019</w:t>
      </w:r>
      <w:r>
        <w:rPr>
          <w:rFonts w:hint="eastAsia"/>
          <w:color w:val="000000"/>
        </w:rPr>
        <w:t>年台风“利奇马”，保障了全市人民生命财产安全和经济社会稳定发展。</w:t>
      </w:r>
    </w:p>
    <w:p>
      <w:pPr>
        <w:pStyle w:val="4"/>
        <w:ind w:firstLine="31680"/>
        <w:rPr>
          <w:color w:val="000000"/>
        </w:rPr>
      </w:pPr>
      <w:r>
        <w:rPr>
          <w:color w:val="000000"/>
        </w:rPr>
        <w:t>2</w:t>
      </w:r>
      <w:bookmarkEnd w:id="19"/>
      <w:bookmarkEnd w:id="20"/>
      <w:r>
        <w:rPr>
          <w:color w:val="000000"/>
        </w:rPr>
        <w:t xml:space="preserve">. </w:t>
      </w:r>
      <w:r>
        <w:rPr>
          <w:rFonts w:hint="eastAsia"/>
          <w:color w:val="000000"/>
        </w:rPr>
        <w:t>节水供水达到新水平</w:t>
      </w:r>
    </w:p>
    <w:p>
      <w:pPr>
        <w:ind w:firstLine="31680"/>
        <w:rPr>
          <w:rFonts w:ascii="仿宋_GB2312" w:hAnsi="仿宋"/>
          <w:color w:val="000000"/>
          <w:szCs w:val="32"/>
        </w:rPr>
      </w:pPr>
      <w:r>
        <w:rPr>
          <w:rStyle w:val="47"/>
          <w:rFonts w:hint="eastAsia"/>
          <w:color w:val="000000"/>
        </w:rPr>
        <w:t>一是</w:t>
      </w:r>
      <w:r>
        <w:rPr>
          <w:rFonts w:hint="eastAsia"/>
          <w:color w:val="000000"/>
        </w:rPr>
        <w:t>水资源双控目标基本实现。</w:t>
      </w:r>
      <w:bookmarkStart w:id="21" w:name="_Hlk32505275"/>
      <w:r>
        <w:rPr>
          <w:rFonts w:hint="eastAsia"/>
          <w:color w:val="000000"/>
        </w:rPr>
        <w:t>全市用水总量稳定控制在</w:t>
      </w:r>
      <w:r>
        <w:rPr>
          <w:color w:val="000000"/>
        </w:rPr>
        <w:t>33</w:t>
      </w:r>
      <w:r>
        <w:rPr>
          <w:rFonts w:hint="eastAsia"/>
          <w:color w:val="000000"/>
        </w:rPr>
        <w:t>亿立方米以内，万元地区生产总值用水量较</w:t>
      </w:r>
      <w:r>
        <w:rPr>
          <w:color w:val="000000"/>
        </w:rPr>
        <w:t>2015</w:t>
      </w:r>
      <w:r>
        <w:rPr>
          <w:rFonts w:hint="eastAsia"/>
          <w:color w:val="000000"/>
        </w:rPr>
        <w:t>年下降</w:t>
      </w:r>
      <w:bookmarkEnd w:id="21"/>
      <w:r>
        <w:rPr>
          <w:color w:val="000000"/>
        </w:rPr>
        <w:t>17%</w:t>
      </w:r>
      <w:r>
        <w:rPr>
          <w:rFonts w:hint="eastAsia"/>
          <w:color w:val="000000"/>
        </w:rPr>
        <w:t>，农田灌溉水利用系数由</w:t>
      </w:r>
      <w:r>
        <w:rPr>
          <w:color w:val="000000"/>
        </w:rPr>
        <w:t>0.598</w:t>
      </w:r>
      <w:r>
        <w:rPr>
          <w:rFonts w:hint="eastAsia"/>
          <w:color w:val="000000"/>
        </w:rPr>
        <w:t>提高到</w:t>
      </w:r>
      <w:r>
        <w:rPr>
          <w:color w:val="000000"/>
        </w:rPr>
        <w:t>0.627</w:t>
      </w:r>
      <w:r>
        <w:rPr>
          <w:rFonts w:hint="eastAsia"/>
          <w:color w:val="000000"/>
        </w:rPr>
        <w:t>。</w:t>
      </w:r>
      <w:r>
        <w:rPr>
          <w:rStyle w:val="47"/>
          <w:rFonts w:hint="eastAsia"/>
          <w:color w:val="000000"/>
        </w:rPr>
        <w:t>二是</w:t>
      </w:r>
      <w:r>
        <w:rPr>
          <w:rFonts w:hint="eastAsia"/>
          <w:color w:val="000000"/>
        </w:rPr>
        <w:t>区域供水能力不断增强。完成姜堰区农村区域供水工程、泰兴市浑水管线复线和乡镇供水管网改造工程、靖江市江防水厂扩建工程，启动实施</w:t>
      </w:r>
      <w:r>
        <w:rPr>
          <w:rFonts w:hint="eastAsia" w:ascii="Arial" w:hAnsi="Arial" w:cs="Arial"/>
          <w:color w:val="000000"/>
          <w:shd w:val="clear" w:color="auto" w:fill="FFFFFF"/>
        </w:rPr>
        <w:t>兴化长江引水工程</w:t>
      </w:r>
      <w:r>
        <w:rPr>
          <w:rFonts w:hint="eastAsia"/>
          <w:color w:val="000000"/>
        </w:rPr>
        <w:t>。</w:t>
      </w:r>
      <w:bookmarkStart w:id="22" w:name="_Hlk32589634"/>
      <w:r>
        <w:rPr>
          <w:rStyle w:val="47"/>
          <w:rFonts w:hint="eastAsia"/>
          <w:color w:val="000000"/>
        </w:rPr>
        <w:t>三是</w:t>
      </w:r>
      <w:r>
        <w:rPr>
          <w:rFonts w:hint="eastAsia"/>
          <w:color w:val="000000"/>
        </w:rPr>
        <w:t>节水型社会建设全面推进。累计创建节水型企业</w:t>
      </w:r>
      <w:r>
        <w:rPr>
          <w:color w:val="000000"/>
        </w:rPr>
        <w:t>81</w:t>
      </w:r>
      <w:r>
        <w:rPr>
          <w:rFonts w:hint="eastAsia"/>
          <w:color w:val="000000"/>
        </w:rPr>
        <w:t>家、单位</w:t>
      </w:r>
      <w:r>
        <w:rPr>
          <w:color w:val="000000"/>
        </w:rPr>
        <w:t>37</w:t>
      </w:r>
      <w:r>
        <w:rPr>
          <w:rFonts w:hint="eastAsia"/>
          <w:color w:val="000000"/>
        </w:rPr>
        <w:t>家、社区</w:t>
      </w:r>
      <w:r>
        <w:rPr>
          <w:color w:val="000000"/>
        </w:rPr>
        <w:t>96</w:t>
      </w:r>
      <w:r>
        <w:rPr>
          <w:rFonts w:hint="eastAsia"/>
          <w:color w:val="000000"/>
        </w:rPr>
        <w:t>个、学校</w:t>
      </w:r>
      <w:r>
        <w:rPr>
          <w:color w:val="000000"/>
        </w:rPr>
        <w:t>41</w:t>
      </w:r>
      <w:r>
        <w:rPr>
          <w:rFonts w:hint="eastAsia"/>
          <w:color w:val="000000"/>
        </w:rPr>
        <w:t>所，高校</w:t>
      </w:r>
      <w:r>
        <w:rPr>
          <w:color w:val="000000"/>
        </w:rPr>
        <w:t>4</w:t>
      </w:r>
      <w:r>
        <w:rPr>
          <w:rFonts w:hint="eastAsia"/>
          <w:color w:val="000000"/>
        </w:rPr>
        <w:t>所，建成节水型教育基地</w:t>
      </w:r>
      <w:r>
        <w:rPr>
          <w:color w:val="000000"/>
        </w:rPr>
        <w:t>6</w:t>
      </w:r>
      <w:r>
        <w:rPr>
          <w:rFonts w:hint="eastAsia"/>
          <w:color w:val="000000"/>
        </w:rPr>
        <w:t>个，完成水平衡测试</w:t>
      </w:r>
      <w:r>
        <w:rPr>
          <w:color w:val="000000"/>
        </w:rPr>
        <w:t>30</w:t>
      </w:r>
      <w:r>
        <w:rPr>
          <w:rFonts w:hint="eastAsia"/>
          <w:color w:val="000000"/>
        </w:rPr>
        <w:t>项；</w:t>
      </w:r>
      <w:r>
        <w:rPr>
          <w:rFonts w:hint="eastAsia" w:ascii="方正仿宋_GBK"/>
          <w:color w:val="000000"/>
          <w:szCs w:val="32"/>
        </w:rPr>
        <w:t>姜堰、高港、靖江、泰兴、兴化创成省级节水型社会示范区，姜堰、泰兴、兴化创成国家节水型社会建设达标县。</w:t>
      </w:r>
    </w:p>
    <w:bookmarkEnd w:id="22"/>
    <w:p>
      <w:pPr>
        <w:pStyle w:val="4"/>
        <w:ind w:firstLine="31680"/>
        <w:rPr>
          <w:color w:val="000000"/>
        </w:rPr>
      </w:pPr>
      <w:r>
        <w:rPr>
          <w:color w:val="000000"/>
        </w:rPr>
        <w:t xml:space="preserve">3. </w:t>
      </w:r>
      <w:r>
        <w:rPr>
          <w:rFonts w:hint="eastAsia"/>
          <w:color w:val="000000"/>
        </w:rPr>
        <w:t>生态治理实现新发展</w:t>
      </w:r>
    </w:p>
    <w:p>
      <w:pPr>
        <w:ind w:firstLine="31680"/>
        <w:rPr>
          <w:color w:val="000000"/>
        </w:rPr>
      </w:pPr>
      <w:r>
        <w:rPr>
          <w:rStyle w:val="47"/>
          <w:rFonts w:hint="eastAsia"/>
          <w:color w:val="000000"/>
        </w:rPr>
        <w:t>一是</w:t>
      </w:r>
      <w:r>
        <w:rPr>
          <w:rFonts w:hint="eastAsia"/>
          <w:color w:val="000000"/>
        </w:rPr>
        <w:t>水生态文明城市建设喜获丰收。大力推进水生态文明十大示范工程和</w:t>
      </w:r>
      <w:r>
        <w:rPr>
          <w:color w:val="000000"/>
        </w:rPr>
        <w:t>103</w:t>
      </w:r>
      <w:r>
        <w:rPr>
          <w:rFonts w:hint="eastAsia"/>
          <w:color w:val="000000"/>
        </w:rPr>
        <w:t>个重点项目，基本形成“一脉、一城、一湖、三带”建设蓝图，顺利通过全国水生态文明城市试点建设验收。</w:t>
      </w:r>
      <w:r>
        <w:rPr>
          <w:rStyle w:val="47"/>
          <w:rFonts w:hint="eastAsia"/>
          <w:color w:val="000000"/>
        </w:rPr>
        <w:t>二是</w:t>
      </w:r>
      <w:r>
        <w:rPr>
          <w:rFonts w:hint="eastAsia"/>
          <w:color w:val="000000"/>
        </w:rPr>
        <w:t>城市水生态工程快速推进</w:t>
      </w:r>
      <w:r>
        <w:rPr>
          <w:rFonts w:hint="eastAsia" w:ascii="楷体" w:hAnsi="楷体" w:eastAsia="楷体"/>
          <w:color w:val="000000"/>
        </w:rPr>
        <w:t>。</w:t>
      </w:r>
      <w:r>
        <w:rPr>
          <w:rFonts w:hint="eastAsia"/>
          <w:color w:val="000000"/>
        </w:rPr>
        <w:t>持续开展城市河道生态修复、水系连通和活水保水调度控制等工程，基本形成“双水绕城”水生态格局；积极推进各市（区）水系连通整治和黑臭河道治理</w:t>
      </w:r>
      <w:bookmarkStart w:id="23" w:name="_Hlk32507996"/>
      <w:r>
        <w:rPr>
          <w:rFonts w:hint="eastAsia"/>
          <w:color w:val="000000"/>
        </w:rPr>
        <w:t>，完成泰州市通南片水生态调度控制工程，城乡河道水生态环境有效改善提升。全市重点水功能区水质达标率由</w:t>
      </w:r>
      <w:r>
        <w:rPr>
          <w:color w:val="000000"/>
        </w:rPr>
        <w:t>60.5%</w:t>
      </w:r>
      <w:r>
        <w:rPr>
          <w:rFonts w:hint="eastAsia"/>
          <w:color w:val="000000"/>
        </w:rPr>
        <w:t>提升至</w:t>
      </w:r>
      <w:r>
        <w:rPr>
          <w:color w:val="000000"/>
        </w:rPr>
        <w:t>90.5%</w:t>
      </w:r>
      <w:r>
        <w:rPr>
          <w:rFonts w:hint="eastAsia"/>
          <w:color w:val="000000"/>
        </w:rPr>
        <w:t>。</w:t>
      </w:r>
      <w:bookmarkEnd w:id="23"/>
      <w:r>
        <w:rPr>
          <w:rStyle w:val="47"/>
          <w:rFonts w:hint="eastAsia"/>
          <w:color w:val="000000"/>
        </w:rPr>
        <w:t>三是</w:t>
      </w:r>
      <w:r>
        <w:rPr>
          <w:rFonts w:hint="eastAsia"/>
          <w:color w:val="000000"/>
        </w:rPr>
        <w:t>退圩还湖步伐不断加快。兴化市退圩还湖专项规划获省政府批复，得胜湖、平旺湖等</w:t>
      </w:r>
      <w:r>
        <w:rPr>
          <w:color w:val="000000"/>
        </w:rPr>
        <w:t>8</w:t>
      </w:r>
      <w:r>
        <w:rPr>
          <w:rFonts w:hint="eastAsia"/>
          <w:color w:val="000000"/>
        </w:rPr>
        <w:t>个湖泊湖荡退圩还湖实施方案获省水利厅批复；启动陈堡草荡、得胜湖等</w:t>
      </w:r>
      <w:r>
        <w:rPr>
          <w:color w:val="000000"/>
        </w:rPr>
        <w:t>5</w:t>
      </w:r>
      <w:r>
        <w:rPr>
          <w:rFonts w:hint="eastAsia"/>
          <w:color w:val="000000"/>
        </w:rPr>
        <w:t>个湖荡退圩还湖工程，完成平旺湖一期、陈堡草荡、蜈蚣湖一期退圩还湖，恢复自由水面</w:t>
      </w:r>
      <w:r>
        <w:rPr>
          <w:color w:val="000000"/>
        </w:rPr>
        <w:t>13.8</w:t>
      </w:r>
      <w:r>
        <w:rPr>
          <w:rFonts w:hint="eastAsia"/>
          <w:color w:val="000000"/>
        </w:rPr>
        <w:t>平方千米。</w:t>
      </w:r>
      <w:bookmarkStart w:id="24" w:name="_Hlk28697735"/>
      <w:r>
        <w:rPr>
          <w:rStyle w:val="47"/>
          <w:rFonts w:hint="eastAsia"/>
          <w:color w:val="000000"/>
        </w:rPr>
        <w:t>四是</w:t>
      </w:r>
      <w:r>
        <w:rPr>
          <w:rFonts w:hint="eastAsia"/>
          <w:color w:val="000000"/>
        </w:rPr>
        <w:t>水源地建设稳步推进。</w:t>
      </w:r>
      <w:r>
        <w:rPr>
          <w:rFonts w:hint="eastAsia" w:ascii="方正仿宋_GBK" w:hAnsi="Arial" w:cs="Arial"/>
          <w:bCs/>
          <w:color w:val="000000"/>
          <w:kern w:val="0"/>
          <w:szCs w:val="32"/>
        </w:rPr>
        <w:t>泰州市长江永安洲永正水源地、靖江市长江蟛蜞港水源地、兴化市通榆河合陈水源地通过省级验收，兴化市下官河缸顾水源地、兴化市卤汀河周庄水源地通过市级验收。</w:t>
      </w:r>
      <w:r>
        <w:rPr>
          <w:rFonts w:hint="eastAsia" w:cs="仿宋_GB2312"/>
          <w:color w:val="000000"/>
        </w:rPr>
        <w:t>全市集中式饮用水源地水质达标率维持</w:t>
      </w:r>
      <w:r>
        <w:rPr>
          <w:rFonts w:cs="仿宋_GB2312"/>
          <w:color w:val="000000"/>
        </w:rPr>
        <w:t>100%</w:t>
      </w:r>
      <w:r>
        <w:rPr>
          <w:rFonts w:hint="eastAsia" w:cs="仿宋_GB2312"/>
          <w:color w:val="000000"/>
        </w:rPr>
        <w:t>。</w:t>
      </w:r>
      <w:r>
        <w:rPr>
          <w:rStyle w:val="47"/>
          <w:rFonts w:hint="eastAsia"/>
          <w:color w:val="000000"/>
        </w:rPr>
        <w:t>五是</w:t>
      </w:r>
      <w:r>
        <w:rPr>
          <w:rFonts w:hint="eastAsia"/>
          <w:color w:val="000000"/>
        </w:rPr>
        <w:t>水土保持持续开展。</w:t>
      </w:r>
      <w:bookmarkStart w:id="25" w:name="_Hlk32506073"/>
      <w:r>
        <w:rPr>
          <w:rFonts w:hint="eastAsia"/>
          <w:color w:val="000000"/>
        </w:rPr>
        <w:t>综合防治水土流失面积</w:t>
      </w:r>
      <w:r>
        <w:rPr>
          <w:color w:val="000000"/>
        </w:rPr>
        <w:t>29.4</w:t>
      </w:r>
      <w:r>
        <w:rPr>
          <w:rFonts w:hint="eastAsia"/>
          <w:color w:val="000000"/>
        </w:rPr>
        <w:t>平方千米，建成生态清洁型小流域</w:t>
      </w:r>
      <w:r>
        <w:rPr>
          <w:color w:val="000000"/>
        </w:rPr>
        <w:t>6</w:t>
      </w:r>
      <w:r>
        <w:rPr>
          <w:rFonts w:hint="eastAsia"/>
          <w:color w:val="000000"/>
        </w:rPr>
        <w:t>条。</w:t>
      </w:r>
      <w:bookmarkEnd w:id="24"/>
      <w:bookmarkEnd w:id="25"/>
      <w:r>
        <w:rPr>
          <w:rStyle w:val="47"/>
          <w:rFonts w:hint="eastAsia"/>
          <w:color w:val="000000"/>
        </w:rPr>
        <w:t>六是</w:t>
      </w:r>
      <w:r>
        <w:rPr>
          <w:rFonts w:hint="eastAsia"/>
          <w:color w:val="000000"/>
        </w:rPr>
        <w:t>大力推进水生态文明载体建设。</w:t>
      </w:r>
      <w:bookmarkStart w:id="26" w:name="_Hlk28245058"/>
      <w:r>
        <w:rPr>
          <w:rFonts w:hint="eastAsia"/>
          <w:color w:val="000000"/>
        </w:rPr>
        <w:t>凤城河、千垛菜花创成国家级水利风景区，九岛环湖、李中水上森林、徐马荒、沙沟古镇创成省级水利风景区</w:t>
      </w:r>
      <w:bookmarkEnd w:id="26"/>
      <w:r>
        <w:rPr>
          <w:rFonts w:hint="eastAsia"/>
          <w:color w:val="000000"/>
        </w:rPr>
        <w:t>，建成“水美村庄”</w:t>
      </w:r>
      <w:r>
        <w:rPr>
          <w:color w:val="000000"/>
        </w:rPr>
        <w:t>56</w:t>
      </w:r>
      <w:r>
        <w:rPr>
          <w:rFonts w:hint="eastAsia"/>
          <w:color w:val="000000"/>
        </w:rPr>
        <w:t>个。</w:t>
      </w:r>
    </w:p>
    <w:p>
      <w:pPr>
        <w:pStyle w:val="4"/>
        <w:ind w:firstLine="31680"/>
        <w:rPr>
          <w:color w:val="000000"/>
        </w:rPr>
      </w:pPr>
      <w:r>
        <w:rPr>
          <w:color w:val="000000"/>
        </w:rPr>
        <w:t xml:space="preserve">4. </w:t>
      </w:r>
      <w:r>
        <w:rPr>
          <w:rFonts w:hint="eastAsia"/>
          <w:color w:val="000000"/>
        </w:rPr>
        <w:t>农村水利取得新成效</w:t>
      </w:r>
    </w:p>
    <w:p>
      <w:pPr>
        <w:ind w:firstLine="31680"/>
        <w:rPr>
          <w:color w:val="000000"/>
        </w:rPr>
      </w:pPr>
      <w:r>
        <w:rPr>
          <w:rStyle w:val="47"/>
          <w:rFonts w:hint="eastAsia"/>
          <w:color w:val="000000"/>
        </w:rPr>
        <w:t>一是</w:t>
      </w:r>
      <w:r>
        <w:rPr>
          <w:rFonts w:hint="eastAsia"/>
          <w:color w:val="000000"/>
        </w:rPr>
        <w:t>农田水利建设扎实推进。</w:t>
      </w:r>
      <w:bookmarkStart w:id="27" w:name="_Hlk32155526"/>
      <w:r>
        <w:rPr>
          <w:rFonts w:hint="eastAsia"/>
          <w:color w:val="000000"/>
        </w:rPr>
        <w:t>推进农田水利重点县、新增千亿斤粮食产能规划末级渠系、大中型灌区节水改造和续建配套、高效节水灌溉等项目，</w:t>
      </w:r>
      <w:bookmarkEnd w:id="27"/>
      <w:r>
        <w:rPr>
          <w:rFonts w:hint="eastAsia"/>
          <w:color w:val="000000"/>
        </w:rPr>
        <w:t>全市有效灌溉面积、旱涝保收田面积、节水灌溉面积分别增加至</w:t>
      </w:r>
      <w:r>
        <w:rPr>
          <w:color w:val="000000"/>
        </w:rPr>
        <w:t>412.9</w:t>
      </w:r>
      <w:r>
        <w:rPr>
          <w:rFonts w:hint="eastAsia"/>
          <w:color w:val="000000"/>
        </w:rPr>
        <w:t>万亩、</w:t>
      </w:r>
      <w:r>
        <w:rPr>
          <w:color w:val="000000"/>
        </w:rPr>
        <w:t>375.1</w:t>
      </w:r>
      <w:r>
        <w:rPr>
          <w:rFonts w:hint="eastAsia"/>
          <w:color w:val="000000"/>
        </w:rPr>
        <w:t>万亩、</w:t>
      </w:r>
      <w:r>
        <w:rPr>
          <w:color w:val="000000"/>
        </w:rPr>
        <w:t>224.5</w:t>
      </w:r>
      <w:r>
        <w:rPr>
          <w:rFonts w:hint="eastAsia"/>
          <w:color w:val="000000"/>
        </w:rPr>
        <w:t>万亩，占耕地面积的比例分别提升至</w:t>
      </w:r>
      <w:r>
        <w:rPr>
          <w:color w:val="000000"/>
        </w:rPr>
        <w:t>93%</w:t>
      </w:r>
      <w:r>
        <w:rPr>
          <w:rFonts w:hint="eastAsia"/>
          <w:color w:val="000000"/>
        </w:rPr>
        <w:t>、</w:t>
      </w:r>
      <w:r>
        <w:rPr>
          <w:color w:val="000000"/>
        </w:rPr>
        <w:t>84%</w:t>
      </w:r>
      <w:r>
        <w:rPr>
          <w:rFonts w:hint="eastAsia"/>
          <w:color w:val="000000"/>
        </w:rPr>
        <w:t>、</w:t>
      </w:r>
      <w:r>
        <w:rPr>
          <w:color w:val="000000"/>
        </w:rPr>
        <w:t>50%</w:t>
      </w:r>
      <w:r>
        <w:rPr>
          <w:rFonts w:hint="eastAsia"/>
          <w:color w:val="000000"/>
        </w:rPr>
        <w:t>。</w:t>
      </w:r>
      <w:r>
        <w:rPr>
          <w:rStyle w:val="47"/>
          <w:rFonts w:hint="eastAsia"/>
          <w:color w:val="000000"/>
        </w:rPr>
        <w:t>二是</w:t>
      </w:r>
      <w:r>
        <w:rPr>
          <w:rFonts w:hint="eastAsia"/>
          <w:color w:val="000000"/>
        </w:rPr>
        <w:t>农村河道治理力度不断加大。累计疏浚县乡河道和村庄河塘</w:t>
      </w:r>
      <w:r>
        <w:rPr>
          <w:color w:val="000000"/>
        </w:rPr>
        <w:t>6900</w:t>
      </w:r>
      <w:r>
        <w:rPr>
          <w:rFonts w:hint="eastAsia"/>
          <w:color w:val="000000"/>
        </w:rPr>
        <w:t>余条，总长近</w:t>
      </w:r>
      <w:r>
        <w:rPr>
          <w:color w:val="000000"/>
        </w:rPr>
        <w:t>7000</w:t>
      </w:r>
      <w:r>
        <w:rPr>
          <w:rFonts w:hint="eastAsia"/>
          <w:color w:val="000000"/>
        </w:rPr>
        <w:t>千米，完成土方约</w:t>
      </w:r>
      <w:r>
        <w:rPr>
          <w:color w:val="000000"/>
        </w:rPr>
        <w:t>7200</w:t>
      </w:r>
      <w:r>
        <w:rPr>
          <w:rFonts w:hint="eastAsia"/>
          <w:color w:val="000000"/>
        </w:rPr>
        <w:t>万立方米，农村河道面貌切实改善。</w:t>
      </w:r>
    </w:p>
    <w:p>
      <w:pPr>
        <w:pStyle w:val="4"/>
        <w:ind w:firstLine="31680"/>
        <w:rPr>
          <w:color w:val="000000"/>
        </w:rPr>
      </w:pPr>
      <w:r>
        <w:rPr>
          <w:color w:val="000000"/>
        </w:rPr>
        <w:t xml:space="preserve">5. </w:t>
      </w:r>
      <w:r>
        <w:rPr>
          <w:rFonts w:hint="eastAsia"/>
          <w:color w:val="000000"/>
        </w:rPr>
        <w:t>依法治水开启新格局</w:t>
      </w:r>
    </w:p>
    <w:p>
      <w:pPr>
        <w:ind w:firstLine="31680"/>
        <w:rPr>
          <w:color w:val="000000"/>
        </w:rPr>
      </w:pPr>
      <w:r>
        <w:rPr>
          <w:rStyle w:val="47"/>
          <w:rFonts w:hint="eastAsia"/>
          <w:color w:val="000000"/>
        </w:rPr>
        <w:t>一是</w:t>
      </w:r>
      <w:r>
        <w:rPr>
          <w:rFonts w:hint="eastAsia"/>
          <w:color w:val="000000"/>
        </w:rPr>
        <w:t>水政策法规和规划体系不断完善。颁布实施《泰州市水环境保护条例》《泰州市水资源管理办法》《泰州市水土保持管理办法》《泰州市节约用水办法》等一批法律法规，组织编制防洪规划、水系规划、水资源规划、水土保持规划、水利工程国土空间规划、河道保护规划等一批规划。</w:t>
      </w:r>
      <w:r>
        <w:rPr>
          <w:rStyle w:val="47"/>
          <w:rFonts w:hint="eastAsia"/>
          <w:color w:val="000000"/>
        </w:rPr>
        <w:t>二是</w:t>
      </w:r>
      <w:r>
        <w:rPr>
          <w:rFonts w:hint="eastAsia"/>
          <w:color w:val="000000"/>
        </w:rPr>
        <w:t>水资源管理更趋严格。全面落实水资源“三条红线”管理，强化取水许可“四个一”管理，积极开展用水审计和节水评估；</w:t>
      </w:r>
      <w:bookmarkStart w:id="28" w:name="_Hlk32505473"/>
      <w:r>
        <w:rPr>
          <w:rFonts w:hint="eastAsia"/>
          <w:color w:val="000000"/>
        </w:rPr>
        <w:t>封井</w:t>
      </w:r>
      <w:r>
        <w:rPr>
          <w:color w:val="000000"/>
        </w:rPr>
        <w:t>203</w:t>
      </w:r>
      <w:r>
        <w:rPr>
          <w:rFonts w:hint="eastAsia"/>
          <w:color w:val="000000"/>
        </w:rPr>
        <w:t>座</w:t>
      </w:r>
      <w:bookmarkEnd w:id="28"/>
      <w:r>
        <w:rPr>
          <w:rFonts w:hint="eastAsia"/>
          <w:color w:val="000000"/>
        </w:rPr>
        <w:t>，压采地下水资源量</w:t>
      </w:r>
      <w:r>
        <w:rPr>
          <w:color w:val="000000"/>
        </w:rPr>
        <w:t>0.12</w:t>
      </w:r>
      <w:r>
        <w:rPr>
          <w:rFonts w:hint="eastAsia"/>
          <w:color w:val="000000"/>
        </w:rPr>
        <w:t>亿立方米。</w:t>
      </w:r>
      <w:r>
        <w:rPr>
          <w:rStyle w:val="47"/>
          <w:rFonts w:hint="eastAsia"/>
          <w:color w:val="000000"/>
        </w:rPr>
        <w:t>三是</w:t>
      </w:r>
      <w:r>
        <w:rPr>
          <w:rFonts w:hint="eastAsia"/>
          <w:color w:val="000000"/>
        </w:rPr>
        <w:t>河湖管理能力全面提升。全面建立并实行河长制，落实各级河湖长</w:t>
      </w:r>
      <w:r>
        <w:rPr>
          <w:color w:val="000000"/>
        </w:rPr>
        <w:t>6069</w:t>
      </w:r>
      <w:r>
        <w:rPr>
          <w:rFonts w:hint="eastAsia"/>
          <w:color w:val="000000"/>
        </w:rPr>
        <w:t>名，累计巡河履职</w:t>
      </w:r>
      <w:r>
        <w:rPr>
          <w:color w:val="000000"/>
        </w:rPr>
        <w:t>198</w:t>
      </w:r>
      <w:r>
        <w:rPr>
          <w:rFonts w:hint="eastAsia"/>
          <w:color w:val="000000"/>
        </w:rPr>
        <w:t>万人次；深入开展河湖“两违”专项整治，拆除违建乱建</w:t>
      </w:r>
      <w:r>
        <w:rPr>
          <w:color w:val="000000"/>
        </w:rPr>
        <w:t>2117</w:t>
      </w:r>
      <w:r>
        <w:rPr>
          <w:rFonts w:hint="eastAsia"/>
          <w:color w:val="000000"/>
        </w:rPr>
        <w:t>处，“两年任务一年完成”目标提前实现；扎实开展</w:t>
      </w:r>
      <w:r>
        <w:rPr>
          <w:rFonts w:hint="eastAsia" w:ascii="微软雅黑" w:hAnsi="微软雅黑" w:eastAsia="微软雅黑"/>
          <w:color w:val="000000"/>
          <w:sz w:val="27"/>
          <w:szCs w:val="27"/>
        </w:rPr>
        <w:t>“</w:t>
      </w:r>
      <w:r>
        <w:rPr>
          <w:rFonts w:hint="eastAsia"/>
          <w:color w:val="000000"/>
        </w:rPr>
        <w:t>健康长江泰州行动”，完成</w:t>
      </w:r>
      <w:r>
        <w:rPr>
          <w:color w:val="000000"/>
        </w:rPr>
        <w:t>XX</w:t>
      </w:r>
      <w:r>
        <w:rPr>
          <w:rFonts w:hint="eastAsia"/>
          <w:color w:val="000000"/>
        </w:rPr>
        <w:t>项长江“两违三乱”整治工程（本项需补充数据），查处违法采砂案件</w:t>
      </w:r>
      <w:r>
        <w:rPr>
          <w:color w:val="000000"/>
        </w:rPr>
        <w:t>90</w:t>
      </w:r>
      <w:r>
        <w:rPr>
          <w:rFonts w:hint="eastAsia"/>
          <w:color w:val="000000"/>
        </w:rPr>
        <w:t>起；全面完成市域</w:t>
      </w:r>
      <w:r>
        <w:rPr>
          <w:color w:val="000000"/>
        </w:rPr>
        <w:t>84</w:t>
      </w:r>
      <w:r>
        <w:rPr>
          <w:rFonts w:hint="eastAsia"/>
          <w:color w:val="000000"/>
        </w:rPr>
        <w:t>条骨干河道、</w:t>
      </w:r>
      <w:r>
        <w:rPr>
          <w:color w:val="000000"/>
        </w:rPr>
        <w:t>23</w:t>
      </w:r>
      <w:r>
        <w:rPr>
          <w:rFonts w:hint="eastAsia"/>
          <w:color w:val="000000"/>
        </w:rPr>
        <w:t>个湖泊湖荡、</w:t>
      </w:r>
      <w:r>
        <w:rPr>
          <w:color w:val="000000"/>
        </w:rPr>
        <w:t>71</w:t>
      </w:r>
      <w:r>
        <w:rPr>
          <w:rFonts w:hint="eastAsia"/>
          <w:color w:val="000000"/>
        </w:rPr>
        <w:t>座闸站管理范围和保护范围的划定工作；积极推进生态样板河湖建设，建成市、县、乡生态样板河道</w:t>
      </w:r>
      <w:r>
        <w:rPr>
          <w:color w:val="000000"/>
        </w:rPr>
        <w:t>699</w:t>
      </w:r>
      <w:r>
        <w:rPr>
          <w:rFonts w:hint="eastAsia"/>
          <w:color w:val="000000"/>
        </w:rPr>
        <w:t>条</w:t>
      </w:r>
      <w:r>
        <w:rPr>
          <w:color w:val="000000"/>
        </w:rPr>
        <w:t>1395</w:t>
      </w:r>
      <w:r>
        <w:rPr>
          <w:rFonts w:hint="eastAsia"/>
          <w:color w:val="000000"/>
        </w:rPr>
        <w:t>千米。</w:t>
      </w:r>
      <w:r>
        <w:rPr>
          <w:rStyle w:val="47"/>
          <w:rFonts w:hint="eastAsia"/>
          <w:color w:val="000000"/>
        </w:rPr>
        <w:t>四是</w:t>
      </w:r>
      <w:r>
        <w:rPr>
          <w:rFonts w:hint="eastAsia"/>
          <w:color w:val="000000"/>
        </w:rPr>
        <w:t>工程管理更加规范有序。不断完善工程建设管理制度，健全招标投标监管体系，推进水利安全生产标准化建设，持续开展规范化水管单位创建，周家墩泵站等</w:t>
      </w:r>
      <w:r>
        <w:rPr>
          <w:color w:val="000000"/>
        </w:rPr>
        <w:t>3</w:t>
      </w:r>
      <w:r>
        <w:rPr>
          <w:rFonts w:hint="eastAsia"/>
          <w:color w:val="000000"/>
        </w:rPr>
        <w:t>个管理所通过省三级水利工程管理考核验收，口岸闸管理所等</w:t>
      </w:r>
      <w:r>
        <w:rPr>
          <w:color w:val="000000"/>
        </w:rPr>
        <w:t>7</w:t>
      </w:r>
      <w:r>
        <w:rPr>
          <w:rFonts w:hint="eastAsia"/>
          <w:color w:val="000000"/>
        </w:rPr>
        <w:t>家水管单位通过省级水利工程管理复核。</w:t>
      </w:r>
    </w:p>
    <w:p>
      <w:pPr>
        <w:pStyle w:val="4"/>
        <w:ind w:firstLine="31680"/>
        <w:rPr>
          <w:color w:val="000000"/>
        </w:rPr>
      </w:pPr>
      <w:r>
        <w:rPr>
          <w:color w:val="000000"/>
        </w:rPr>
        <w:t xml:space="preserve">6. </w:t>
      </w:r>
      <w:r>
        <w:rPr>
          <w:rFonts w:hint="eastAsia"/>
          <w:color w:val="000000"/>
        </w:rPr>
        <w:t>改革创新实现新突破</w:t>
      </w:r>
    </w:p>
    <w:p>
      <w:pPr>
        <w:ind w:firstLine="31680"/>
        <w:rPr>
          <w:color w:val="000000"/>
        </w:rPr>
      </w:pPr>
      <w:r>
        <w:rPr>
          <w:rStyle w:val="47"/>
          <w:rFonts w:hint="eastAsia"/>
          <w:color w:val="000000"/>
        </w:rPr>
        <w:t>一是</w:t>
      </w:r>
      <w:r>
        <w:rPr>
          <w:rFonts w:hint="eastAsia"/>
          <w:color w:val="000000"/>
        </w:rPr>
        <w:t>水利机构改革任务圆满完成。进一步加强了水资源管理利用、配置和保护方面的职责，强化了对水域、水利工程管理和长江治理保护的要求。</w:t>
      </w:r>
      <w:r>
        <w:rPr>
          <w:rStyle w:val="47"/>
          <w:rFonts w:hint="eastAsia"/>
          <w:color w:val="000000"/>
        </w:rPr>
        <w:t>二是</w:t>
      </w:r>
      <w:r>
        <w:rPr>
          <w:rFonts w:hint="eastAsia"/>
          <w:color w:val="000000"/>
        </w:rPr>
        <w:t>积极推进水利科技创新。联合大专院校、科研院所开展课题研究、成果转化和技术推广，成功申报省水利厅科技项目</w:t>
      </w:r>
      <w:r>
        <w:rPr>
          <w:color w:val="000000"/>
        </w:rPr>
        <w:t>4</w:t>
      </w:r>
      <w:r>
        <w:rPr>
          <w:rFonts w:hint="eastAsia"/>
          <w:color w:val="000000"/>
        </w:rPr>
        <w:t>项。</w:t>
      </w:r>
      <w:r>
        <w:rPr>
          <w:rStyle w:val="47"/>
          <w:rFonts w:hint="eastAsia"/>
          <w:color w:val="000000"/>
        </w:rPr>
        <w:t>三是</w:t>
      </w:r>
      <w:r>
        <w:rPr>
          <w:rFonts w:hint="eastAsia"/>
          <w:color w:val="000000"/>
        </w:rPr>
        <w:t>稳步开展水利信息化建设。建成通南片封闭工程无人值守自动化运行系统、“智守长江”水行政执法信息化平台、河长制信息管理平台，完成各市（区）防汛系统信息化改造和农村基层防汛预报预警系统。</w:t>
      </w:r>
      <w:r>
        <w:rPr>
          <w:rStyle w:val="47"/>
          <w:rFonts w:hint="eastAsia"/>
          <w:color w:val="000000"/>
        </w:rPr>
        <w:t>四是</w:t>
      </w:r>
      <w:r>
        <w:rPr>
          <w:rFonts w:hint="eastAsia"/>
          <w:color w:val="000000"/>
        </w:rPr>
        <w:t>积极推进农业水价综合改革。发展用水合作组织</w:t>
      </w:r>
      <w:r>
        <w:rPr>
          <w:color w:val="000000"/>
        </w:rPr>
        <w:t>208</w:t>
      </w:r>
      <w:r>
        <w:rPr>
          <w:rFonts w:hint="eastAsia"/>
          <w:color w:val="000000"/>
        </w:rPr>
        <w:t>个，管理灌溉面积</w:t>
      </w:r>
      <w:r>
        <w:rPr>
          <w:color w:val="000000"/>
        </w:rPr>
        <w:t>360</w:t>
      </w:r>
      <w:r>
        <w:rPr>
          <w:rFonts w:hint="eastAsia"/>
          <w:color w:val="000000"/>
        </w:rPr>
        <w:t>万亩；安装各类计量设施</w:t>
      </w:r>
      <w:r>
        <w:rPr>
          <w:color w:val="000000"/>
        </w:rPr>
        <w:t>1.2</w:t>
      </w:r>
      <w:r>
        <w:rPr>
          <w:rFonts w:hint="eastAsia"/>
          <w:color w:val="000000"/>
        </w:rPr>
        <w:t>万台（套），基本形成“产权明确、管护到位、水价合理、水费易收”的农业灌溉水价体系。</w:t>
      </w:r>
    </w:p>
    <w:p>
      <w:pPr>
        <w:pStyle w:val="3"/>
        <w:ind w:firstLine="31680"/>
        <w:rPr>
          <w:color w:val="000000"/>
        </w:rPr>
      </w:pPr>
      <w:bookmarkStart w:id="29" w:name="_Toc21704974"/>
      <w:bookmarkStart w:id="30" w:name="_Toc41928824"/>
      <w:r>
        <w:rPr>
          <w:rFonts w:hint="eastAsia"/>
          <w:color w:val="000000"/>
        </w:rPr>
        <w:t>（二）存在问题</w:t>
      </w:r>
      <w:bookmarkEnd w:id="29"/>
      <w:bookmarkEnd w:id="30"/>
    </w:p>
    <w:p>
      <w:pPr>
        <w:ind w:firstLine="31680"/>
        <w:rPr>
          <w:color w:val="000000"/>
        </w:rPr>
      </w:pPr>
      <w:r>
        <w:rPr>
          <w:rFonts w:hint="eastAsia"/>
          <w:color w:val="000000"/>
        </w:rPr>
        <w:t>在充分肯定“十三五”发展成绩的同时，全市水利发展仍然存在一定不足。</w:t>
      </w:r>
      <w:r>
        <w:rPr>
          <w:rStyle w:val="47"/>
          <w:rFonts w:hint="eastAsia"/>
          <w:color w:val="000000"/>
        </w:rPr>
        <w:t>一是</w:t>
      </w:r>
      <w:r>
        <w:rPr>
          <w:rFonts w:hint="eastAsia"/>
          <w:color w:val="000000"/>
        </w:rPr>
        <w:t>防洪排涝标准仍需提高。长江防洪标准尚未全面达到</w:t>
      </w:r>
      <w:r>
        <w:rPr>
          <w:color w:val="000000"/>
        </w:rPr>
        <w:t>100</w:t>
      </w:r>
      <w:r>
        <w:rPr>
          <w:rFonts w:hint="eastAsia"/>
          <w:color w:val="000000"/>
        </w:rPr>
        <w:t>年一遇标准、局部河势仍不稳定，区域骨干河道治理率偏低，各市（区）建成区和小城市防洪排涝标准不高。</w:t>
      </w:r>
      <w:r>
        <w:rPr>
          <w:rStyle w:val="47"/>
          <w:rFonts w:hint="eastAsia"/>
          <w:color w:val="000000"/>
        </w:rPr>
        <w:t>二是</w:t>
      </w:r>
      <w:r>
        <w:rPr>
          <w:rFonts w:hint="eastAsia"/>
          <w:color w:val="000000"/>
        </w:rPr>
        <w:t>节约用水</w:t>
      </w:r>
      <w:r>
        <w:rPr>
          <w:rFonts w:hint="eastAsia"/>
          <w:b/>
          <w:bCs/>
          <w:color w:val="000000"/>
        </w:rPr>
        <w:t>水平</w:t>
      </w:r>
      <w:r>
        <w:rPr>
          <w:rFonts w:hint="eastAsia"/>
          <w:color w:val="000000"/>
        </w:rPr>
        <w:t>不高。农田高效节水灌溉面积比例不高，再生水等非传统水源利用水平偏低，全社会节水意识和节水管理仍然薄弱；</w:t>
      </w:r>
      <w:r>
        <w:rPr>
          <w:rStyle w:val="47"/>
          <w:rFonts w:hint="eastAsia"/>
          <w:color w:val="000000"/>
        </w:rPr>
        <w:t>三是</w:t>
      </w:r>
      <w:r>
        <w:rPr>
          <w:rFonts w:hint="eastAsia"/>
          <w:color w:val="000000"/>
        </w:rPr>
        <w:t>水生态环境持续良好压力较大。部分河网水系连通性下降，河湖公益性功能衰减退化，水生态修复任务繁重、要求较高；</w:t>
      </w:r>
      <w:r>
        <w:rPr>
          <w:rStyle w:val="47"/>
          <w:rFonts w:hint="eastAsia"/>
          <w:color w:val="000000"/>
        </w:rPr>
        <w:t>四是</w:t>
      </w:r>
      <w:r>
        <w:rPr>
          <w:rFonts w:hint="eastAsia"/>
          <w:color w:val="000000"/>
        </w:rPr>
        <w:t>水利管理能力有待加强。河湖管理相关法规制度有待完善，水资源和河湖资源管理力度有待提升，智慧水利不适应新时代管理需求，水治理体系与治理能力现代化任重道远。</w:t>
      </w:r>
    </w:p>
    <w:p>
      <w:pPr>
        <w:pStyle w:val="3"/>
        <w:ind w:firstLine="31680"/>
        <w:rPr>
          <w:color w:val="000000"/>
        </w:rPr>
      </w:pPr>
      <w:bookmarkStart w:id="31" w:name="_Toc41928825"/>
      <w:r>
        <w:rPr>
          <w:rFonts w:hint="eastAsia"/>
          <w:color w:val="000000"/>
        </w:rPr>
        <w:t>（三）面临形势</w:t>
      </w:r>
      <w:bookmarkEnd w:id="31"/>
    </w:p>
    <w:p>
      <w:pPr>
        <w:ind w:firstLine="31680"/>
        <w:rPr>
          <w:color w:val="000000"/>
        </w:rPr>
      </w:pPr>
      <w:r>
        <w:rPr>
          <w:rFonts w:hint="eastAsia"/>
          <w:color w:val="000000"/>
        </w:rPr>
        <w:t>“十四五”（</w:t>
      </w:r>
      <w:r>
        <w:rPr>
          <w:color w:val="000000"/>
        </w:rPr>
        <w:t>2021~2025</w:t>
      </w:r>
      <w:r>
        <w:rPr>
          <w:rFonts w:hint="eastAsia"/>
          <w:color w:val="000000"/>
        </w:rPr>
        <w:t>年）是我国开启社会主义现代化强国建设新征程的第一个五年，也是我市全面建成小康社会之后，向社会主义现代化迈进的关键时期，水利发展改革面临新形势和新要求。</w:t>
      </w:r>
    </w:p>
    <w:p>
      <w:pPr>
        <w:pStyle w:val="4"/>
        <w:ind w:firstLine="31680"/>
        <w:rPr>
          <w:color w:val="000000"/>
        </w:rPr>
      </w:pPr>
      <w:r>
        <w:rPr>
          <w:color w:val="000000"/>
        </w:rPr>
        <w:t xml:space="preserve">1. </w:t>
      </w:r>
      <w:r>
        <w:rPr>
          <w:rFonts w:hint="eastAsia"/>
          <w:color w:val="000000"/>
        </w:rPr>
        <w:t>践行新时代治水新方针，要求改进水利发展思路</w:t>
      </w:r>
    </w:p>
    <w:p>
      <w:pPr>
        <w:ind w:firstLine="31680"/>
        <w:rPr>
          <w:color w:val="000000"/>
        </w:rPr>
      </w:pPr>
      <w:r>
        <w:rPr>
          <w:rFonts w:hint="eastAsia"/>
          <w:color w:val="000000"/>
        </w:rPr>
        <w:t>习近平总书记提出“节水优先、空间均衡、系统治理、两手发力”新时代治水方针，明确提出水资源、水生态、水环境、水灾害统筹治理的治水新思路，是习近平新时代中国特色社会主义思想在治水领域的集中体现，是新时代水利发展的根本遵循。省水利厅提出要切实把习近平总书记新时代治水方针贯彻落实到水利实践中，推动治水理念、治水方式、治水重点转变。“十四五”期间，全市水利发展要继续以习近平新时代治水方针为指引，围绕统筹推进“五位一体”总体布局和协调推进“四个全面”战略部署要求，加快水利发展思路转变，找准水利改革发展方位，坚持水安全、水资源、水生态、水环境协调发展，全面提升水利综合保障能力。</w:t>
      </w:r>
    </w:p>
    <w:p>
      <w:pPr>
        <w:pStyle w:val="4"/>
        <w:ind w:firstLine="31680"/>
        <w:rPr>
          <w:color w:val="000000"/>
        </w:rPr>
      </w:pPr>
      <w:r>
        <w:rPr>
          <w:color w:val="000000"/>
        </w:rPr>
        <w:t xml:space="preserve">2. </w:t>
      </w:r>
      <w:r>
        <w:rPr>
          <w:rFonts w:hint="eastAsia"/>
          <w:color w:val="000000"/>
        </w:rPr>
        <w:t>把握水利发展改革总基调，要求转变水利发展方式</w:t>
      </w:r>
    </w:p>
    <w:p>
      <w:pPr>
        <w:ind w:firstLine="31680"/>
        <w:rPr>
          <w:color w:val="000000"/>
        </w:rPr>
      </w:pPr>
      <w:r>
        <w:rPr>
          <w:rFonts w:hint="eastAsia"/>
          <w:color w:val="000000"/>
        </w:rPr>
        <w:t>水利部党组指出，我国治水矛盾已经发生深刻变化，当前和今后一个时期水利改革发展的总基调是“水利工程补短板、水利行业强监管”，同时指出要补好“防洪工程、供水工程、生态修复工程、信息化工程”等方面的短板，加强对“江河湖泊、水资源、水利工程、水土保持</w:t>
      </w:r>
      <w:r>
        <w:rPr>
          <w:color w:val="000000"/>
        </w:rPr>
        <w:t>”</w:t>
      </w:r>
      <w:r>
        <w:rPr>
          <w:rFonts w:hint="eastAsia"/>
          <w:color w:val="000000"/>
        </w:rPr>
        <w:t>等方面的监管。“十四五”水利发展要准确把握水利改革发展总基调，加快发展思路和方向转变，深化体制机制改革，加大重点领域和关键环节的改革攻坚力度，全面提升水治理体系与治理能力现代化水平，努力开创水利工作新局面，促进水利事业长远健康发展，保障经济社会发展目标实现。</w:t>
      </w:r>
    </w:p>
    <w:p>
      <w:pPr>
        <w:pStyle w:val="4"/>
        <w:ind w:firstLine="31680"/>
        <w:rPr>
          <w:color w:val="000000"/>
        </w:rPr>
      </w:pPr>
      <w:r>
        <w:rPr>
          <w:color w:val="000000"/>
        </w:rPr>
        <w:t xml:space="preserve">3. </w:t>
      </w:r>
      <w:r>
        <w:rPr>
          <w:rFonts w:hint="eastAsia"/>
          <w:color w:val="000000"/>
        </w:rPr>
        <w:t>支撑和服务国家战略实施，要求完善水利基础设施</w:t>
      </w:r>
    </w:p>
    <w:p>
      <w:pPr>
        <w:ind w:firstLine="31680"/>
        <w:rPr>
          <w:color w:val="000000"/>
        </w:rPr>
      </w:pPr>
      <w:r>
        <w:rPr>
          <w:rFonts w:hint="eastAsia"/>
          <w:color w:val="000000"/>
        </w:rPr>
        <w:t>我市位于“一带一路”交汇点和长三角经济带核心区，地处省“</w:t>
      </w:r>
      <w:r>
        <w:rPr>
          <w:color w:val="000000"/>
        </w:rPr>
        <w:t>1+3</w:t>
      </w:r>
      <w:r>
        <w:rPr>
          <w:rFonts w:hint="eastAsia"/>
          <w:color w:val="000000"/>
        </w:rPr>
        <w:t>”功能区中扬子江城市群和江淮生态经济区的交汇地带，长江经济带、长三角区域一体化发展、大运河文化带、淮河生态经济带等重大国家战略在我市交汇叠加，经济社会发展和生态环境保护对水利的要求较高。“十四五”期间，全市水利发展需要充分落实各项国家重大战略部署的具体实践，紧抓机遇、主动对接，着力完善水利基础设施网络体系，不断增强水利对国家战略的基础支撑和战略保障能力，服务国家战略顺利实施。</w:t>
      </w:r>
    </w:p>
    <w:p>
      <w:pPr>
        <w:pStyle w:val="4"/>
        <w:ind w:firstLine="31680"/>
        <w:rPr>
          <w:color w:val="000000"/>
        </w:rPr>
      </w:pPr>
      <w:r>
        <w:rPr>
          <w:color w:val="000000"/>
        </w:rPr>
        <w:t xml:space="preserve">4. </w:t>
      </w:r>
      <w:r>
        <w:rPr>
          <w:rFonts w:hint="eastAsia"/>
          <w:color w:val="000000"/>
        </w:rPr>
        <w:t>全面加强生态文明建设，要求坚持水利可持续发展</w:t>
      </w:r>
    </w:p>
    <w:p>
      <w:pPr>
        <w:ind w:firstLine="31680"/>
        <w:rPr>
          <w:color w:val="000000"/>
        </w:rPr>
      </w:pPr>
      <w:r>
        <w:rPr>
          <w:rFonts w:hint="eastAsia"/>
          <w:color w:val="000000"/>
        </w:rPr>
        <w:t>党的十八大从新的历史起点出发，作出“大力推进生态文明建设”的战略决策；习近平总书记在十九大报告中指出，加快生态文明体制改革，建设美丽中国。泰州地处长三角城市群，在经济社会持续向好发展的同时，污染负荷也持续加重，在水安全问题尚未全面解决的同时，局部地区水资源短缺、水生态退化、水环境污染等问题凸显，新老水问题交织。“十四五”期间，全市水利发展迫切需要进一步加强生态文明建设，牢固树立“绿水青山就是金山银山”发展理念，牢牢把握安全、资源、环境的底线思维，坚持水利可持续发展。</w:t>
      </w:r>
    </w:p>
    <w:p>
      <w:pPr>
        <w:pStyle w:val="4"/>
        <w:ind w:firstLine="31680"/>
        <w:rPr>
          <w:color w:val="000000"/>
        </w:rPr>
      </w:pPr>
      <w:r>
        <w:rPr>
          <w:color w:val="000000"/>
        </w:rPr>
        <w:t xml:space="preserve">5. </w:t>
      </w:r>
      <w:r>
        <w:rPr>
          <w:rFonts w:hint="eastAsia"/>
          <w:color w:val="000000"/>
        </w:rPr>
        <w:t>保障经济社会高质量发展，要求水利全面提质增效</w:t>
      </w:r>
    </w:p>
    <w:p>
      <w:pPr>
        <w:ind w:firstLine="31680"/>
        <w:rPr>
          <w:color w:val="000000"/>
        </w:rPr>
      </w:pPr>
      <w:r>
        <w:rPr>
          <w:rFonts w:hint="eastAsia"/>
          <w:color w:val="000000"/>
        </w:rPr>
        <w:t>省委省政府提出“六个高质量”发展，且明确了“高质量发展走在前列”的目标定位。泰州市委市政府提出高质量发展总体目标和“五大高地”建设任务要求。“十四五”水利发展要紧密围绕国家、省、市高质量发展要求，着力构建标准较高、功能完备、保障可靠的水利工程体系，构建监测有力、执法到位、管护常态的水利综合监管体系，不断提升水利综合保障能力和公共服务能力，充分发挥水利在经济社会高质量发展中的基础性、战略性和先导性作用。</w:t>
      </w:r>
    </w:p>
    <w:p>
      <w:pPr>
        <w:pStyle w:val="4"/>
        <w:ind w:firstLine="31680"/>
        <w:rPr>
          <w:color w:val="000000"/>
        </w:rPr>
      </w:pPr>
      <w:r>
        <w:rPr>
          <w:color w:val="000000"/>
        </w:rPr>
        <w:t xml:space="preserve">6. </w:t>
      </w:r>
      <w:r>
        <w:rPr>
          <w:rFonts w:hint="eastAsia"/>
          <w:color w:val="000000"/>
        </w:rPr>
        <w:t>落实机构改革和职能调整，要求加快水利改革创新</w:t>
      </w:r>
    </w:p>
    <w:p>
      <w:pPr>
        <w:ind w:firstLine="31680"/>
        <w:rPr>
          <w:color w:val="000000"/>
        </w:rPr>
      </w:pPr>
      <w:r>
        <w:rPr>
          <w:rFonts w:hint="eastAsia"/>
          <w:color w:val="000000"/>
        </w:rPr>
        <w:t>党的十九届三中全会审议通过了《中共中央关于深化党和国家机构改革的决定》《深化党和国家机构改革方案》，水利部门职能得到优化调整</w:t>
      </w:r>
      <w:r>
        <w:rPr>
          <w:rFonts w:hint="eastAsia"/>
          <w:color w:val="000000"/>
          <w:shd w:val="clear" w:color="auto" w:fill="FFFFFF"/>
        </w:rPr>
        <w:t>。“十四五”期间，全市水利要严格按照机构改革调整方案要求，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r>
        <w:rPr>
          <w:rFonts w:hint="eastAsia"/>
          <w:color w:val="000000"/>
          <w:lang w:val="zh-CN"/>
        </w:rPr>
        <w:t>。</w:t>
      </w:r>
    </w:p>
    <w:p>
      <w:pPr>
        <w:pStyle w:val="2"/>
        <w:spacing w:before="156" w:after="156"/>
        <w:ind w:firstLine="31680"/>
        <w:rPr>
          <w:color w:val="000000"/>
        </w:rPr>
      </w:pPr>
      <w:bookmarkStart w:id="32" w:name="_Toc21704976"/>
      <w:bookmarkStart w:id="33" w:name="_Toc41928826"/>
      <w:r>
        <w:rPr>
          <w:rFonts w:hint="eastAsia"/>
          <w:color w:val="000000"/>
        </w:rPr>
        <w:t>二、</w:t>
      </w:r>
      <w:bookmarkEnd w:id="32"/>
      <w:r>
        <w:rPr>
          <w:rFonts w:hint="eastAsia"/>
          <w:color w:val="000000"/>
        </w:rPr>
        <w:t>总体要求</w:t>
      </w:r>
      <w:bookmarkEnd w:id="33"/>
    </w:p>
    <w:p>
      <w:pPr>
        <w:pStyle w:val="3"/>
        <w:ind w:firstLine="31680"/>
        <w:rPr>
          <w:color w:val="000000"/>
        </w:rPr>
      </w:pPr>
      <w:bookmarkStart w:id="34" w:name="_Toc21704977"/>
      <w:bookmarkStart w:id="35" w:name="_Toc41928827"/>
      <w:r>
        <w:rPr>
          <w:rFonts w:hint="eastAsia"/>
          <w:color w:val="000000"/>
        </w:rPr>
        <w:t>（一）指导思想</w:t>
      </w:r>
      <w:bookmarkEnd w:id="34"/>
      <w:bookmarkEnd w:id="35"/>
    </w:p>
    <w:p>
      <w:pPr>
        <w:ind w:firstLine="31680"/>
        <w:rPr>
          <w:color w:val="000000"/>
        </w:rPr>
      </w:pPr>
      <w:r>
        <w:rPr>
          <w:rFonts w:hint="eastAsia"/>
          <w:color w:val="000000"/>
        </w:rPr>
        <w:t>以习近平新时代中国特色社会主义思想为指导，全面贯彻党的十九大和十九届二中、三中、四中全会精神，践行“节水优先、空间均衡、系统治理、两手发力”新时期治水方针，围绕建设“强富美高”新泰州要求，以打造人民向往的幸福河为主题，以“水利工程补短板、水利行业强监管、系统治水提质效”为基调，以“安全水利、资源水利、生态水利、农村水利、智慧水利”为抓手，以全面强化水管理、全面深化改革创新为动力，加快构建与社会主义现代化进程相适应、与高质量发展相匹配的水利发展综合保障体系，全面推进水治理体系和治理能力现代化，为泰州市经济社会高质量发展提供坚实的水利支撑和保障。</w:t>
      </w:r>
    </w:p>
    <w:p>
      <w:pPr>
        <w:pStyle w:val="3"/>
        <w:ind w:firstLine="31680"/>
        <w:rPr>
          <w:color w:val="000000"/>
        </w:rPr>
      </w:pPr>
      <w:bookmarkStart w:id="36" w:name="_Toc41928828"/>
      <w:bookmarkStart w:id="37" w:name="_Toc21704978"/>
      <w:r>
        <w:rPr>
          <w:rFonts w:hint="eastAsia"/>
          <w:color w:val="000000"/>
        </w:rPr>
        <w:t>（二）基本原则</w:t>
      </w:r>
      <w:bookmarkEnd w:id="36"/>
      <w:bookmarkEnd w:id="37"/>
    </w:p>
    <w:p>
      <w:pPr>
        <w:ind w:firstLine="31680"/>
        <w:rPr>
          <w:color w:val="000000"/>
        </w:rPr>
      </w:pPr>
      <w:bookmarkStart w:id="38" w:name="_Toc21704979"/>
      <w:r>
        <w:rPr>
          <w:rFonts w:hint="eastAsia"/>
          <w:b/>
          <w:bCs/>
          <w:color w:val="000000"/>
        </w:rPr>
        <w:t>（</w:t>
      </w:r>
      <w:r>
        <w:rPr>
          <w:b/>
          <w:bCs/>
          <w:color w:val="000000"/>
        </w:rPr>
        <w:t>1</w:t>
      </w:r>
      <w:r>
        <w:rPr>
          <w:rFonts w:hint="eastAsia"/>
          <w:b/>
          <w:bCs/>
          <w:color w:val="000000"/>
        </w:rPr>
        <w:t>）坚持生态保护的原则。</w:t>
      </w:r>
      <w:r>
        <w:rPr>
          <w:rFonts w:hint="eastAsia"/>
          <w:color w:val="000000"/>
        </w:rPr>
        <w:t>深入践行“绿水青山就是金山银山”理念，贯彻国家</w:t>
      </w:r>
      <w:r>
        <w:rPr>
          <w:rFonts w:hint="eastAsia"/>
          <w:color w:val="000000"/>
          <w:spacing w:val="6"/>
        </w:rPr>
        <w:t>生态文明建设和资源环境保护方面的方针政策，</w:t>
      </w:r>
      <w:r>
        <w:rPr>
          <w:rFonts w:hint="eastAsia"/>
          <w:color w:val="000000"/>
        </w:rPr>
        <w:t>把生态优先、保护优先的原则贯穿水利发展全过程，强化对水资源、河湖资源的节约集约利用，提升水资源和水环境的承载能力。</w:t>
      </w:r>
    </w:p>
    <w:p>
      <w:pPr>
        <w:ind w:firstLine="31680"/>
        <w:rPr>
          <w:rFonts w:ascii="微软雅黑" w:hAnsi="微软雅黑" w:eastAsia="微软雅黑"/>
          <w:color w:val="000000"/>
          <w:sz w:val="26"/>
          <w:szCs w:val="26"/>
          <w:shd w:val="clear" w:color="auto" w:fill="FFFFFF"/>
        </w:rPr>
      </w:pPr>
      <w:r>
        <w:rPr>
          <w:rFonts w:hint="eastAsia"/>
          <w:b/>
          <w:bCs/>
          <w:color w:val="000000"/>
        </w:rPr>
        <w:t>（</w:t>
      </w:r>
      <w:r>
        <w:rPr>
          <w:b/>
          <w:bCs/>
          <w:color w:val="000000"/>
        </w:rPr>
        <w:t>2</w:t>
      </w:r>
      <w:r>
        <w:rPr>
          <w:rFonts w:hint="eastAsia"/>
          <w:b/>
          <w:bCs/>
          <w:color w:val="000000"/>
        </w:rPr>
        <w:t>）坚持节水优先的原则。</w:t>
      </w:r>
      <w:r>
        <w:rPr>
          <w:rFonts w:hint="eastAsia"/>
          <w:color w:val="000000"/>
        </w:rPr>
        <w:t>坚持以水定城、以水定地、以水定人、以水定产，把水资源作为最大的刚性约束，把节水作为水资源开发、利用、保护、配置、调度的前提基础，合理确定全市产业布局和行业发展对水资源的需求，全面推进水资源节约集约利用。</w:t>
      </w:r>
    </w:p>
    <w:p>
      <w:pPr>
        <w:ind w:firstLine="31680"/>
        <w:rPr>
          <w:color w:val="000000"/>
        </w:rPr>
      </w:pPr>
      <w:r>
        <w:rPr>
          <w:rFonts w:hint="eastAsia"/>
          <w:b/>
          <w:bCs/>
          <w:color w:val="000000"/>
        </w:rPr>
        <w:t>（</w:t>
      </w:r>
      <w:r>
        <w:rPr>
          <w:b/>
          <w:bCs/>
          <w:color w:val="000000"/>
        </w:rPr>
        <w:t>3</w:t>
      </w:r>
      <w:r>
        <w:rPr>
          <w:rFonts w:hint="eastAsia"/>
          <w:b/>
          <w:bCs/>
          <w:color w:val="000000"/>
        </w:rPr>
        <w:t>）坚持统筹兼顾的原则。</w:t>
      </w:r>
      <w:r>
        <w:rPr>
          <w:rFonts w:hint="eastAsia"/>
          <w:color w:val="000000"/>
        </w:rPr>
        <w:t>立足山水林田湖草生命共同体，坚持水安全、水资源、水生态、水环境系统治理，坚持上下游、左右岸、干支流统筹兼顾，坚持工程补短板和行业强监管并重，坚持城乡水利协调发展，全面提升水利综合保障能力。</w:t>
      </w:r>
    </w:p>
    <w:p>
      <w:pPr>
        <w:ind w:firstLine="31680"/>
        <w:rPr>
          <w:color w:val="000000"/>
        </w:rPr>
      </w:pPr>
      <w:r>
        <w:rPr>
          <w:rFonts w:hint="eastAsia"/>
          <w:b/>
          <w:bCs/>
          <w:color w:val="000000"/>
        </w:rPr>
        <w:t>（</w:t>
      </w:r>
      <w:r>
        <w:rPr>
          <w:b/>
          <w:bCs/>
          <w:color w:val="000000"/>
        </w:rPr>
        <w:t>4</w:t>
      </w:r>
      <w:r>
        <w:rPr>
          <w:rFonts w:hint="eastAsia"/>
          <w:b/>
          <w:bCs/>
          <w:color w:val="000000"/>
        </w:rPr>
        <w:t>）坚持服务发展的原则。</w:t>
      </w:r>
      <w:r>
        <w:rPr>
          <w:rFonts w:hint="eastAsia"/>
          <w:color w:val="000000"/>
        </w:rPr>
        <w:t>围绕长江经济带、长三角区域一体化、淮河生态经济带、大运河文化带等国家战略部署要求，不断拓宽水利对国家战略的支撑服务领域，不断充实水利对国家战略的发展保障能力，努力提升水利服务发展、协调共享水平。</w:t>
      </w:r>
    </w:p>
    <w:p>
      <w:pPr>
        <w:ind w:firstLine="31680"/>
        <w:rPr>
          <w:color w:val="000000"/>
        </w:rPr>
      </w:pPr>
      <w:r>
        <w:rPr>
          <w:rFonts w:hint="eastAsia"/>
          <w:b/>
          <w:bCs/>
          <w:color w:val="000000"/>
        </w:rPr>
        <w:t>（</w:t>
      </w:r>
      <w:r>
        <w:rPr>
          <w:b/>
          <w:bCs/>
          <w:color w:val="000000"/>
        </w:rPr>
        <w:t>5</w:t>
      </w:r>
      <w:r>
        <w:rPr>
          <w:rFonts w:hint="eastAsia"/>
          <w:b/>
          <w:bCs/>
          <w:color w:val="000000"/>
        </w:rPr>
        <w:t>）坚持改革创新的原则。</w:t>
      </w:r>
      <w:r>
        <w:rPr>
          <w:rFonts w:hint="eastAsia"/>
          <w:color w:val="000000"/>
        </w:rPr>
        <w:t>紧扣经济社会发展新常态新特征，紧抓国家、省、市战略部署安排和改革发展要求，体现水利与经济社会发展的协调性。加快治水思路转变，着力破解制约水利发展的体制机制障碍，实现重点领域和关键环节的改革攻坚。</w:t>
      </w:r>
    </w:p>
    <w:p>
      <w:pPr>
        <w:ind w:firstLine="31680"/>
        <w:rPr>
          <w:color w:val="000000"/>
        </w:rPr>
      </w:pPr>
      <w:r>
        <w:rPr>
          <w:rFonts w:hint="eastAsia"/>
          <w:b/>
          <w:bCs/>
          <w:color w:val="000000"/>
        </w:rPr>
        <w:t>（</w:t>
      </w:r>
      <w:r>
        <w:rPr>
          <w:b/>
          <w:bCs/>
          <w:color w:val="000000"/>
        </w:rPr>
        <w:t>6</w:t>
      </w:r>
      <w:r>
        <w:rPr>
          <w:rFonts w:hint="eastAsia"/>
          <w:b/>
          <w:bCs/>
          <w:color w:val="000000"/>
        </w:rPr>
        <w:t>）坚持量力而行的原则。</w:t>
      </w:r>
      <w:r>
        <w:rPr>
          <w:rFonts w:hint="eastAsia"/>
          <w:color w:val="000000"/>
        </w:rPr>
        <w:t>围绕规划确定的发展目标和任务，充分考虑“十四五”经济社会发展情况和各级政府财力实际，按照项目建设轻重缓急，统筹各项水利项目建设规模和时序，充分发挥工程效益。</w:t>
      </w:r>
    </w:p>
    <w:bookmarkEnd w:id="38"/>
    <w:p>
      <w:pPr>
        <w:pStyle w:val="3"/>
        <w:ind w:firstLine="31680"/>
        <w:rPr>
          <w:color w:val="000000"/>
        </w:rPr>
      </w:pPr>
      <w:bookmarkStart w:id="39" w:name="_Toc41928829"/>
      <w:bookmarkStart w:id="40" w:name="_Toc21704980"/>
      <w:r>
        <w:rPr>
          <w:rFonts w:hint="eastAsia"/>
          <w:color w:val="000000"/>
        </w:rPr>
        <w:t>（三）发展目标</w:t>
      </w:r>
      <w:bookmarkEnd w:id="39"/>
      <w:bookmarkEnd w:id="40"/>
    </w:p>
    <w:p>
      <w:pPr>
        <w:ind w:firstLine="31680"/>
        <w:rPr>
          <w:color w:val="000000"/>
        </w:rPr>
      </w:pPr>
      <w:r>
        <w:rPr>
          <w:rFonts w:hint="eastAsia"/>
          <w:color w:val="000000"/>
        </w:rPr>
        <w:t>“十四五”期间，全市水利发展的总体目标是：基本建立标准较高、洪涝可控的“安全水利”，进一步控减水旱灾害；基本建立节约集约、高效供给的“资源水利”，进一步化解水资源约束；基本建立河湖健康、空间有序的“生态水利”，进一步改善生态环境；基本建立设施完善、现代生态的“农村水利”，进一步促进农业增效；基本建立安全实用、高效共享的“智慧水利”，进一步强化信息驱动；建设制度完善、管控有力的水管理体系和改革有力、推进有效的发展保障体系，不断提升水治理能力现代化水平。力争到</w:t>
      </w:r>
      <w:r>
        <w:rPr>
          <w:color w:val="000000"/>
        </w:rPr>
        <w:t>2025</w:t>
      </w:r>
      <w:r>
        <w:rPr>
          <w:rFonts w:hint="eastAsia"/>
          <w:color w:val="000000"/>
        </w:rPr>
        <w:t>年，全市防洪减灾能力、节水供水能力、水生态保护能力、农村水利保障能力、智慧水利决策能力、水利管理能力和服务水平进一步提升，基本建立现代化水利综合保障体系，为全市</w:t>
      </w:r>
      <w:r>
        <w:rPr>
          <w:color w:val="000000"/>
        </w:rPr>
        <w:t>2025</w:t>
      </w:r>
      <w:r>
        <w:rPr>
          <w:rFonts w:hint="eastAsia"/>
          <w:color w:val="000000"/>
        </w:rPr>
        <w:t>年经济社会发展目标的实现夯实水利基础。</w:t>
      </w:r>
    </w:p>
    <w:p>
      <w:pPr>
        <w:ind w:firstLine="31680"/>
        <w:rPr>
          <w:color w:val="000000"/>
        </w:rPr>
      </w:pPr>
      <w:r>
        <w:rPr>
          <w:rStyle w:val="46"/>
          <w:color w:val="000000"/>
          <w:sz w:val="32"/>
        </w:rPr>
        <w:t xml:space="preserve">1. </w:t>
      </w:r>
      <w:r>
        <w:rPr>
          <w:rStyle w:val="46"/>
          <w:rFonts w:hint="eastAsia"/>
          <w:color w:val="000000"/>
          <w:sz w:val="32"/>
        </w:rPr>
        <w:t>水安全保障。</w:t>
      </w:r>
      <w:r>
        <w:rPr>
          <w:rFonts w:hint="eastAsia"/>
          <w:color w:val="000000"/>
        </w:rPr>
        <w:t>流域防洪能力巩固提升，区域防洪排涝能力显著增强，城市防洪排涝基本达到国家标准，流域、区域和城市防洪体系协调完善。</w:t>
      </w:r>
      <w:r>
        <w:rPr>
          <w:rStyle w:val="47"/>
          <w:rFonts w:hint="eastAsia"/>
          <w:bCs w:val="0"/>
          <w:color w:val="000000"/>
        </w:rPr>
        <w:t>流域</w:t>
      </w:r>
      <w:r>
        <w:rPr>
          <w:rFonts w:hint="eastAsia"/>
          <w:color w:val="000000"/>
        </w:rPr>
        <w:t>防洪，长江流域防洪标准基本达到</w:t>
      </w:r>
      <w:r>
        <w:rPr>
          <w:color w:val="000000"/>
        </w:rPr>
        <w:t>100</w:t>
      </w:r>
      <w:r>
        <w:rPr>
          <w:rFonts w:hint="eastAsia"/>
          <w:color w:val="000000"/>
        </w:rPr>
        <w:t>年一遇。</w:t>
      </w:r>
      <w:r>
        <w:rPr>
          <w:rStyle w:val="47"/>
          <w:rFonts w:hint="eastAsia"/>
          <w:bCs w:val="0"/>
          <w:color w:val="000000"/>
        </w:rPr>
        <w:t>区域</w:t>
      </w:r>
      <w:r>
        <w:rPr>
          <w:rFonts w:hint="eastAsia"/>
          <w:color w:val="000000"/>
        </w:rPr>
        <w:t>防洪排涝，老</w:t>
      </w:r>
      <w:r>
        <w:rPr>
          <w:color w:val="000000"/>
        </w:rPr>
        <w:t>328</w:t>
      </w:r>
      <w:r>
        <w:rPr>
          <w:rFonts w:hint="eastAsia"/>
          <w:color w:val="000000"/>
        </w:rPr>
        <w:t>国道控制线防洪标准</w:t>
      </w:r>
      <w:r>
        <w:rPr>
          <w:color w:val="000000"/>
        </w:rPr>
        <w:t>100</w:t>
      </w:r>
      <w:r>
        <w:rPr>
          <w:rFonts w:hint="eastAsia"/>
          <w:color w:val="000000"/>
        </w:rPr>
        <w:t>年一遇，里下河圩区</w:t>
      </w:r>
      <w:r>
        <w:rPr>
          <w:color w:val="000000"/>
        </w:rPr>
        <w:t>20</w:t>
      </w:r>
      <w:r>
        <w:rPr>
          <w:rFonts w:hint="eastAsia"/>
          <w:color w:val="000000"/>
        </w:rPr>
        <w:t>年一遇，区域骨干河道</w:t>
      </w:r>
      <w:r>
        <w:rPr>
          <w:color w:val="000000"/>
        </w:rPr>
        <w:t>10~20</w:t>
      </w:r>
      <w:r>
        <w:rPr>
          <w:rFonts w:hint="eastAsia"/>
          <w:color w:val="000000"/>
        </w:rPr>
        <w:t>年一遇；里下河地区排涝标准</w:t>
      </w:r>
      <w:r>
        <w:rPr>
          <w:color w:val="000000"/>
        </w:rPr>
        <w:t>10</w:t>
      </w:r>
      <w:r>
        <w:rPr>
          <w:rFonts w:hint="eastAsia"/>
          <w:color w:val="000000"/>
        </w:rPr>
        <w:t>年一遇，沿江圩区</w:t>
      </w:r>
      <w:r>
        <w:rPr>
          <w:color w:val="000000"/>
        </w:rPr>
        <w:t>10~20</w:t>
      </w:r>
      <w:r>
        <w:rPr>
          <w:rFonts w:hint="eastAsia"/>
          <w:color w:val="000000"/>
        </w:rPr>
        <w:t>年一遇，其他地区</w:t>
      </w:r>
      <w:r>
        <w:rPr>
          <w:color w:val="000000"/>
        </w:rPr>
        <w:t>20</w:t>
      </w:r>
      <w:r>
        <w:rPr>
          <w:rFonts w:hint="eastAsia"/>
          <w:color w:val="000000"/>
        </w:rPr>
        <w:t>年一遇。</w:t>
      </w:r>
      <w:r>
        <w:rPr>
          <w:rStyle w:val="47"/>
          <w:rFonts w:hint="eastAsia"/>
          <w:bCs w:val="0"/>
          <w:color w:val="000000"/>
        </w:rPr>
        <w:t>城市</w:t>
      </w:r>
      <w:r>
        <w:rPr>
          <w:rFonts w:hint="eastAsia"/>
          <w:color w:val="000000"/>
        </w:rPr>
        <w:t>防洪排涝，市区建成区防洪标准</w:t>
      </w:r>
      <w:r>
        <w:rPr>
          <w:color w:val="000000"/>
        </w:rPr>
        <w:t>100</w:t>
      </w:r>
      <w:r>
        <w:rPr>
          <w:rFonts w:hint="eastAsia"/>
          <w:color w:val="000000"/>
        </w:rPr>
        <w:t>年一遇，各市（区）建成区和</w:t>
      </w:r>
      <w:r>
        <w:rPr>
          <w:color w:val="000000"/>
        </w:rPr>
        <w:t>9</w:t>
      </w:r>
      <w:r>
        <w:rPr>
          <w:rFonts w:hint="eastAsia"/>
          <w:color w:val="000000"/>
        </w:rPr>
        <w:t>个小城市所在地</w:t>
      </w:r>
      <w:r>
        <w:rPr>
          <w:color w:val="000000"/>
        </w:rPr>
        <w:t>50</w:t>
      </w:r>
      <w:r>
        <w:rPr>
          <w:rFonts w:hint="eastAsia"/>
          <w:color w:val="000000"/>
        </w:rPr>
        <w:t>年一遇，其他乡镇（街道）</w:t>
      </w:r>
      <w:r>
        <w:rPr>
          <w:color w:val="000000"/>
        </w:rPr>
        <w:t>20</w:t>
      </w:r>
      <w:r>
        <w:rPr>
          <w:rFonts w:hint="eastAsia"/>
          <w:color w:val="000000"/>
        </w:rPr>
        <w:t>年一遇，城市河道排涝标准</w:t>
      </w:r>
      <w:r>
        <w:rPr>
          <w:color w:val="000000"/>
        </w:rPr>
        <w:t>20</w:t>
      </w:r>
      <w:r>
        <w:rPr>
          <w:rFonts w:hint="eastAsia"/>
          <w:color w:val="000000"/>
        </w:rPr>
        <w:t>年一遇。</w:t>
      </w:r>
    </w:p>
    <w:p>
      <w:pPr>
        <w:ind w:firstLine="31680"/>
        <w:rPr>
          <w:color w:val="000000"/>
        </w:rPr>
      </w:pPr>
      <w:r>
        <w:rPr>
          <w:rStyle w:val="46"/>
          <w:color w:val="000000"/>
          <w:sz w:val="32"/>
        </w:rPr>
        <w:t xml:space="preserve">2. </w:t>
      </w:r>
      <w:r>
        <w:rPr>
          <w:rStyle w:val="46"/>
          <w:rFonts w:hint="eastAsia"/>
          <w:color w:val="000000"/>
          <w:sz w:val="32"/>
        </w:rPr>
        <w:t>水资源保障。</w:t>
      </w:r>
      <w:r>
        <w:rPr>
          <w:rFonts w:hint="eastAsia"/>
          <w:color w:val="000000"/>
        </w:rPr>
        <w:t>完善调配水工程体系，满足经济社会高质量发展的基本用水需求。全市生活供水保证率达</w:t>
      </w:r>
      <w:r>
        <w:rPr>
          <w:color w:val="000000"/>
        </w:rPr>
        <w:t>97%</w:t>
      </w:r>
      <w:r>
        <w:rPr>
          <w:rFonts w:hint="eastAsia"/>
          <w:color w:val="000000"/>
        </w:rPr>
        <w:t>以上，重点工业供水保证率</w:t>
      </w:r>
      <w:r>
        <w:rPr>
          <w:color w:val="000000"/>
        </w:rPr>
        <w:t>95%</w:t>
      </w:r>
      <w:r>
        <w:rPr>
          <w:rFonts w:hint="eastAsia"/>
          <w:color w:val="000000"/>
        </w:rPr>
        <w:t>以上，大部分地区农业供水保证率</w:t>
      </w:r>
      <w:r>
        <w:rPr>
          <w:color w:val="000000"/>
        </w:rPr>
        <w:t>85%</w:t>
      </w:r>
      <w:r>
        <w:rPr>
          <w:rFonts w:hint="eastAsia"/>
          <w:color w:val="000000"/>
        </w:rPr>
        <w:t>以上；严格落实全民节水行动计划，全市用水总量控制在</w:t>
      </w:r>
      <w:r>
        <w:rPr>
          <w:color w:val="000000"/>
        </w:rPr>
        <w:t>33</w:t>
      </w:r>
      <w:r>
        <w:rPr>
          <w:rFonts w:hint="eastAsia"/>
          <w:color w:val="000000"/>
        </w:rPr>
        <w:t>亿立方米以内，全市万元地区生产总值用水量较</w:t>
      </w:r>
      <w:r>
        <w:rPr>
          <w:color w:val="000000"/>
        </w:rPr>
        <w:t>2020</w:t>
      </w:r>
      <w:r>
        <w:rPr>
          <w:rFonts w:hint="eastAsia"/>
          <w:color w:val="000000"/>
        </w:rPr>
        <w:t>年下降</w:t>
      </w:r>
      <w:r>
        <w:rPr>
          <w:color w:val="000000"/>
        </w:rPr>
        <w:t>15%</w:t>
      </w:r>
      <w:r>
        <w:rPr>
          <w:rFonts w:hint="eastAsia"/>
          <w:color w:val="000000"/>
        </w:rPr>
        <w:t>，万元工业增加值用水量较</w:t>
      </w:r>
      <w:r>
        <w:rPr>
          <w:color w:val="000000"/>
        </w:rPr>
        <w:t>2020</w:t>
      </w:r>
      <w:r>
        <w:rPr>
          <w:rFonts w:hint="eastAsia"/>
          <w:color w:val="000000"/>
        </w:rPr>
        <w:t>年下降</w:t>
      </w:r>
      <w:r>
        <w:rPr>
          <w:color w:val="000000"/>
        </w:rPr>
        <w:t>18%</w:t>
      </w:r>
      <w:r>
        <w:rPr>
          <w:rFonts w:hint="eastAsia"/>
          <w:color w:val="000000"/>
        </w:rPr>
        <w:t>，农田灌溉水利用系数达到</w:t>
      </w:r>
      <w:r>
        <w:rPr>
          <w:color w:val="000000"/>
        </w:rPr>
        <w:t>0.635</w:t>
      </w:r>
      <w:r>
        <w:rPr>
          <w:rFonts w:hint="eastAsia"/>
          <w:color w:val="000000"/>
        </w:rPr>
        <w:t>以上。</w:t>
      </w:r>
    </w:p>
    <w:p>
      <w:pPr>
        <w:ind w:firstLine="31680"/>
        <w:rPr>
          <w:color w:val="000000"/>
        </w:rPr>
      </w:pPr>
      <w:r>
        <w:rPr>
          <w:rStyle w:val="46"/>
          <w:color w:val="000000"/>
          <w:sz w:val="32"/>
        </w:rPr>
        <w:t xml:space="preserve">3. </w:t>
      </w:r>
      <w:r>
        <w:rPr>
          <w:rStyle w:val="46"/>
          <w:rFonts w:hint="eastAsia"/>
          <w:color w:val="000000"/>
          <w:sz w:val="32"/>
        </w:rPr>
        <w:t>水生态保护。</w:t>
      </w:r>
      <w:r>
        <w:rPr>
          <w:rFonts w:hint="eastAsia"/>
          <w:color w:val="000000"/>
        </w:rPr>
        <w:t>全市集中式饮用水源地水质达标率稳定巩固</w:t>
      </w:r>
      <w:r>
        <w:rPr>
          <w:color w:val="000000"/>
        </w:rPr>
        <w:t>100%</w:t>
      </w:r>
      <w:r>
        <w:rPr>
          <w:rFonts w:hint="eastAsia"/>
          <w:color w:val="000000"/>
        </w:rPr>
        <w:t>，水源地水质稳定达标；全市重点水功能区水质达标率不低于</w:t>
      </w:r>
      <w:r>
        <w:rPr>
          <w:color w:val="000000"/>
        </w:rPr>
        <w:t>90%</w:t>
      </w:r>
      <w:r>
        <w:rPr>
          <w:rFonts w:hint="eastAsia"/>
          <w:color w:val="000000"/>
        </w:rPr>
        <w:t>，主要河湖水生态环境明显改善；全市水域面积率维持</w:t>
      </w:r>
      <w:r>
        <w:rPr>
          <w:color w:val="000000"/>
        </w:rPr>
        <w:t>2020</w:t>
      </w:r>
      <w:r>
        <w:rPr>
          <w:rFonts w:hint="eastAsia"/>
          <w:color w:val="000000"/>
        </w:rPr>
        <w:t>年末水平不降低且有所提升；全市水土流失治理面积</w:t>
      </w:r>
      <w:r>
        <w:rPr>
          <w:color w:val="000000"/>
        </w:rPr>
        <w:t>11.03</w:t>
      </w:r>
      <w:r>
        <w:rPr>
          <w:rFonts w:hint="eastAsia"/>
          <w:color w:val="000000"/>
        </w:rPr>
        <w:t>平方千米，水土流失现象进一步遏制。</w:t>
      </w:r>
    </w:p>
    <w:p>
      <w:pPr>
        <w:ind w:firstLine="31680"/>
        <w:rPr>
          <w:color w:val="000000"/>
        </w:rPr>
      </w:pPr>
      <w:r>
        <w:rPr>
          <w:rStyle w:val="46"/>
          <w:color w:val="000000"/>
          <w:sz w:val="32"/>
        </w:rPr>
        <w:t xml:space="preserve">4. </w:t>
      </w:r>
      <w:r>
        <w:rPr>
          <w:rStyle w:val="46"/>
          <w:rFonts w:hint="eastAsia"/>
          <w:color w:val="000000"/>
          <w:sz w:val="32"/>
        </w:rPr>
        <w:t>农村水利。</w:t>
      </w:r>
      <w:r>
        <w:rPr>
          <w:rFonts w:hint="eastAsia"/>
          <w:color w:val="000000"/>
        </w:rPr>
        <w:t>大中型灌区灌、排、控能力明显增强，农业生产保障能力进一步提高；农村河道引排能力巩固提升，农村生态环境面貌显著改善。全市有效灌溉面积占耕地面积的比例提升至</w:t>
      </w:r>
      <w:r>
        <w:rPr>
          <w:color w:val="000000"/>
        </w:rPr>
        <w:t>93%</w:t>
      </w:r>
      <w:r>
        <w:rPr>
          <w:rFonts w:hint="eastAsia"/>
          <w:color w:val="000000"/>
        </w:rPr>
        <w:t>，旱涝保收田面积占耕地面积的比例提升至</w:t>
      </w:r>
      <w:r>
        <w:rPr>
          <w:color w:val="000000"/>
        </w:rPr>
        <w:t>88%</w:t>
      </w:r>
      <w:r>
        <w:rPr>
          <w:rFonts w:hint="eastAsia"/>
          <w:color w:val="000000"/>
        </w:rPr>
        <w:t>，节水灌溉工程控制面积占耕地面积的比例提升至</w:t>
      </w:r>
      <w:r>
        <w:rPr>
          <w:color w:val="000000"/>
        </w:rPr>
        <w:t>60%</w:t>
      </w:r>
      <w:r>
        <w:rPr>
          <w:rFonts w:hint="eastAsia"/>
          <w:color w:val="000000"/>
        </w:rPr>
        <w:t>。农民用水合作组织实现全覆盖且有效运作。</w:t>
      </w:r>
    </w:p>
    <w:p>
      <w:pPr>
        <w:ind w:firstLine="31680"/>
        <w:rPr>
          <w:color w:val="000000"/>
        </w:rPr>
      </w:pPr>
      <w:r>
        <w:rPr>
          <w:rStyle w:val="46"/>
          <w:color w:val="000000"/>
          <w:sz w:val="32"/>
        </w:rPr>
        <w:t xml:space="preserve">5. </w:t>
      </w:r>
      <w:r>
        <w:rPr>
          <w:rStyle w:val="46"/>
          <w:rFonts w:hint="eastAsia"/>
          <w:color w:val="000000"/>
          <w:sz w:val="32"/>
        </w:rPr>
        <w:t>智慧水利。</w:t>
      </w:r>
      <w:r>
        <w:rPr>
          <w:rFonts w:hint="eastAsia"/>
          <w:color w:val="000000"/>
        </w:rPr>
        <w:t>基本建立覆盖全面、智能感知的天空地一体化水利监测网，建立高速安全、互通互联的新一代水利信息网，建立完善支撑水利重要业务应用的大数据中心和智能应用平台。至</w:t>
      </w:r>
      <w:r>
        <w:rPr>
          <w:color w:val="000000"/>
        </w:rPr>
        <w:t>2025</w:t>
      </w:r>
      <w:r>
        <w:rPr>
          <w:rFonts w:hint="eastAsia"/>
          <w:color w:val="000000"/>
        </w:rPr>
        <w:t>年，水利数字化和网络化水平全面提升，重点领域智能化水平显著提升，对强监管的支撑能力明显提高。</w:t>
      </w:r>
    </w:p>
    <w:p>
      <w:pPr>
        <w:ind w:firstLine="31680"/>
        <w:rPr>
          <w:color w:val="000000"/>
        </w:rPr>
      </w:pPr>
      <w:r>
        <w:rPr>
          <w:rStyle w:val="46"/>
          <w:color w:val="000000"/>
          <w:sz w:val="32"/>
        </w:rPr>
        <w:t xml:space="preserve">6. </w:t>
      </w:r>
      <w:r>
        <w:rPr>
          <w:rStyle w:val="46"/>
          <w:rFonts w:hint="eastAsia"/>
          <w:color w:val="000000"/>
          <w:sz w:val="32"/>
        </w:rPr>
        <w:t>水利管理与改革。</w:t>
      </w:r>
      <w:r>
        <w:rPr>
          <w:rFonts w:hint="eastAsia"/>
          <w:color w:val="000000"/>
        </w:rPr>
        <w:t>落实最严格水资源管理制度，践行全民节水行动计划，水资源高效配置和节约集约水平明显提升，水资源管理达标率达</w:t>
      </w:r>
      <w:r>
        <w:rPr>
          <w:color w:val="000000"/>
        </w:rPr>
        <w:t>95%</w:t>
      </w:r>
      <w:r>
        <w:rPr>
          <w:rFonts w:hint="eastAsia"/>
          <w:color w:val="000000"/>
        </w:rPr>
        <w:t>；河长制管理纵向推进，河湖空间管控能力全面加强，河湖管理达标率达</w:t>
      </w:r>
      <w:r>
        <w:rPr>
          <w:color w:val="000000"/>
        </w:rPr>
        <w:t>95%</w:t>
      </w:r>
      <w:r>
        <w:rPr>
          <w:rFonts w:hint="eastAsia"/>
          <w:color w:val="000000"/>
        </w:rPr>
        <w:t>；推进水利工程精细化管理，保障工程设施安全运行、发挥效益，水利工程管理达标率达</w:t>
      </w:r>
      <w:r>
        <w:rPr>
          <w:color w:val="000000"/>
        </w:rPr>
        <w:t>95%</w:t>
      </w:r>
      <w:r>
        <w:rPr>
          <w:rFonts w:hint="eastAsia"/>
          <w:color w:val="000000"/>
        </w:rPr>
        <w:t>；全面履行水土保持监督管理法定职责，着力提升水土保持社会管理和服务水平；依法治水能力显著增强，骨干河道和水利工程管理范围内违法水事基本得到全面查处和控制，水事违法案件查结率不低于</w:t>
      </w:r>
      <w:r>
        <w:rPr>
          <w:color w:val="000000"/>
        </w:rPr>
        <w:t>96%</w:t>
      </w:r>
      <w:r>
        <w:rPr>
          <w:rFonts w:hint="eastAsia"/>
          <w:color w:val="000000"/>
        </w:rPr>
        <w:t>；基本建立多元化、多渠道的水利投融资机制体制，水利发展建设各项资金需求基本保障，水利投入政策到位率不低于</w:t>
      </w:r>
      <w:r>
        <w:rPr>
          <w:color w:val="000000"/>
        </w:rPr>
        <w:t>90%</w:t>
      </w:r>
      <w:r>
        <w:rPr>
          <w:rFonts w:hint="eastAsia"/>
          <w:color w:val="000000"/>
        </w:rPr>
        <w:t>；人才队伍高层次、专业化水平不断增强，综合素质不断提升，人才结构达标率不低于</w:t>
      </w:r>
      <w:r>
        <w:rPr>
          <w:color w:val="000000"/>
        </w:rPr>
        <w:t>90%</w:t>
      </w:r>
      <w:r>
        <w:rPr>
          <w:rFonts w:hint="eastAsia"/>
          <w:color w:val="000000"/>
        </w:rPr>
        <w:t>；水利科技创新能力进一步提升，以科技推动和引领水利发展的能力不断增强。</w:t>
      </w:r>
    </w:p>
    <w:p>
      <w:pPr>
        <w:ind w:firstLine="31680"/>
        <w:rPr>
          <w:color w:val="000000"/>
        </w:rPr>
      </w:pPr>
      <w:r>
        <w:rPr>
          <w:rFonts w:hint="eastAsia"/>
          <w:color w:val="000000"/>
        </w:rPr>
        <w:t>泰州市“十四五”水利发展具体表目标见附件</w:t>
      </w:r>
      <w:r>
        <w:rPr>
          <w:color w:val="000000"/>
        </w:rPr>
        <w:t>1</w:t>
      </w:r>
      <w:r>
        <w:rPr>
          <w:rFonts w:hint="eastAsia"/>
          <w:color w:val="000000"/>
        </w:rPr>
        <w:t>。</w:t>
      </w:r>
    </w:p>
    <w:p>
      <w:pPr>
        <w:pStyle w:val="2"/>
        <w:ind w:firstLine="31680"/>
        <w:rPr>
          <w:color w:val="000000"/>
        </w:rPr>
      </w:pPr>
      <w:bookmarkStart w:id="41" w:name="_Toc41928830"/>
      <w:r>
        <w:rPr>
          <w:rFonts w:hint="eastAsia"/>
          <w:color w:val="000000"/>
        </w:rPr>
        <w:t>三、主要任务</w:t>
      </w:r>
      <w:bookmarkEnd w:id="41"/>
    </w:p>
    <w:p>
      <w:pPr>
        <w:ind w:firstLine="31680"/>
        <w:rPr>
          <w:color w:val="000000"/>
        </w:rPr>
      </w:pPr>
      <w:r>
        <w:rPr>
          <w:rFonts w:hint="eastAsia"/>
          <w:color w:val="000000"/>
        </w:rPr>
        <w:t>围绕“十四五”水利发展目标要求，以“安全水利、资源水利、生态水利、农村水利、智慧水利、法治水利”等“六大水利”为重点，统筹安排“十四五”水利发展改革各项任务和重点工程。</w:t>
      </w:r>
    </w:p>
    <w:p>
      <w:pPr>
        <w:pStyle w:val="3"/>
        <w:ind w:firstLine="31680"/>
        <w:rPr>
          <w:color w:val="000000"/>
        </w:rPr>
      </w:pPr>
      <w:bookmarkStart w:id="42" w:name="_Toc41928831"/>
      <w:r>
        <w:rPr>
          <w:rFonts w:hint="eastAsia"/>
          <w:color w:val="000000"/>
        </w:rPr>
        <w:t>（一）建设标准较高、洪涝可控的“安全水利”</w:t>
      </w:r>
      <w:bookmarkEnd w:id="42"/>
    </w:p>
    <w:p>
      <w:pPr>
        <w:ind w:firstLine="31680"/>
        <w:rPr>
          <w:color w:val="000000"/>
        </w:rPr>
      </w:pPr>
      <w:r>
        <w:rPr>
          <w:rFonts w:hint="eastAsia" w:ascii="黑体" w:hAnsi="黑体" w:eastAsia="黑体"/>
          <w:color w:val="000000"/>
        </w:rPr>
        <w:t>一是</w:t>
      </w:r>
      <w:r>
        <w:rPr>
          <w:rFonts w:hint="eastAsia"/>
          <w:color w:val="000000"/>
        </w:rPr>
        <w:t>以防洪排涝基础设施薄弱环节为重点，集中力量补短板、夯基础，协调流域、区域和城市防洪排涝体系建设，增强防洪排涝综合减灾能力，满足经济社会发展对水利的安全需求。</w:t>
      </w:r>
      <w:r>
        <w:rPr>
          <w:rFonts w:hint="eastAsia"/>
          <w:b/>
          <w:bCs/>
          <w:color w:val="000000"/>
        </w:rPr>
        <w:t>流域</w:t>
      </w:r>
      <w:r>
        <w:rPr>
          <w:rFonts w:hint="eastAsia"/>
          <w:color w:val="000000"/>
        </w:rPr>
        <w:t>防洪方面，继续开展长江防洪能力提升堤防加固工程和长江崩岸治理工程，提升长江防洪标准，巩固稳定长江河势；继续开展淮河平原洼地治理泰州市境内工程，提高淮河流域排涝能力。</w:t>
      </w:r>
      <w:r>
        <w:rPr>
          <w:rFonts w:hint="eastAsia"/>
          <w:b/>
          <w:bCs/>
          <w:color w:val="000000"/>
        </w:rPr>
        <w:t>区域</w:t>
      </w:r>
      <w:r>
        <w:rPr>
          <w:rFonts w:hint="eastAsia"/>
          <w:color w:val="000000"/>
        </w:rPr>
        <w:t>治理方面，紧抓新一轮中小河流治理的良好契机，推进实施一批依据充分、成效显著的骨干河道治理和中型泵站更新改造项目，增强区域防洪排涝能力。</w:t>
      </w:r>
      <w:r>
        <w:rPr>
          <w:rFonts w:hint="eastAsia"/>
          <w:b/>
          <w:bCs/>
          <w:color w:val="000000"/>
        </w:rPr>
        <w:t>城市</w:t>
      </w:r>
      <w:r>
        <w:rPr>
          <w:rFonts w:hint="eastAsia"/>
          <w:color w:val="000000"/>
        </w:rPr>
        <w:t>防洪排涝方面，重点推进各市（区）中心城区、小城市和沿江园区排涝体系建设，加大河道疏浚整治和涵闸泵站更新改造力度，提高城市防洪排涝标准。</w:t>
      </w:r>
      <w:r>
        <w:rPr>
          <w:rFonts w:hint="eastAsia" w:ascii="黑体" w:hAnsi="黑体" w:eastAsia="黑体"/>
          <w:color w:val="000000"/>
        </w:rPr>
        <w:t>二是</w:t>
      </w:r>
      <w:r>
        <w:rPr>
          <w:rFonts w:hint="eastAsia"/>
          <w:color w:val="000000"/>
        </w:rPr>
        <w:t>加强水旱灾害综合防御和管理，提高预测预警预报能力和防汛抗旱抢险技术支撑水平，增强对重大洪涝干旱的防御能力。</w:t>
      </w:r>
      <w:r>
        <w:rPr>
          <w:rFonts w:hint="eastAsia" w:ascii="黑体" w:hAnsi="黑体" w:eastAsia="黑体"/>
          <w:color w:val="000000"/>
        </w:rPr>
        <w:t>三是</w:t>
      </w:r>
      <w:r>
        <w:rPr>
          <w:rFonts w:hint="eastAsia"/>
          <w:color w:val="000000"/>
        </w:rPr>
        <w:t>进一步健全水利安全生产体系，完善安全生产责任制，坚决遏制重特大安全事故。</w:t>
      </w:r>
    </w:p>
    <w:p>
      <w:pPr>
        <w:pBdr>
          <w:top w:val="single" w:color="auto" w:sz="4" w:space="1"/>
          <w:left w:val="single" w:color="auto" w:sz="4" w:space="4"/>
          <w:bottom w:val="single" w:color="auto" w:sz="4" w:space="1"/>
          <w:right w:val="single" w:color="auto" w:sz="4" w:space="4"/>
        </w:pBdr>
        <w:ind w:firstLine="0" w:firstLineChars="0"/>
        <w:jc w:val="center"/>
        <w:rPr>
          <w:rStyle w:val="47"/>
          <w:rFonts w:ascii="楷体" w:hAnsi="楷体"/>
          <w:bCs w:val="0"/>
          <w:color w:val="000000"/>
          <w:sz w:val="28"/>
          <w:szCs w:val="28"/>
        </w:rPr>
      </w:pPr>
      <w:bookmarkStart w:id="43" w:name="_Toc21704983"/>
      <w:r>
        <w:rPr>
          <w:rStyle w:val="47"/>
          <w:rFonts w:hint="eastAsia" w:ascii="楷体" w:hAnsi="楷体"/>
          <w:bCs w:val="0"/>
          <w:color w:val="000000"/>
          <w:sz w:val="28"/>
          <w:szCs w:val="28"/>
        </w:rPr>
        <w:t>专栏一</w:t>
      </w:r>
      <w:bookmarkEnd w:id="43"/>
      <w:r>
        <w:rPr>
          <w:rStyle w:val="47"/>
          <w:rFonts w:ascii="楷体" w:hAnsi="楷体"/>
          <w:bCs w:val="0"/>
          <w:color w:val="000000"/>
          <w:sz w:val="28"/>
          <w:szCs w:val="28"/>
        </w:rPr>
        <w:t xml:space="preserve"> </w:t>
      </w:r>
      <w:r>
        <w:rPr>
          <w:rStyle w:val="47"/>
          <w:rFonts w:hint="eastAsia" w:ascii="楷体" w:hAnsi="楷体"/>
          <w:bCs w:val="0"/>
          <w:color w:val="000000"/>
          <w:sz w:val="28"/>
          <w:szCs w:val="28"/>
        </w:rPr>
        <w:t>“安全水利”重点任务</w:t>
      </w:r>
    </w:p>
    <w:p>
      <w:pPr>
        <w:pStyle w:val="48"/>
        <w:ind w:firstLine="31680"/>
        <w:rPr>
          <w:b/>
          <w:bCs/>
          <w:color w:val="000000"/>
        </w:rPr>
      </w:pPr>
      <w:r>
        <w:rPr>
          <w:rFonts w:hint="eastAsia"/>
          <w:b/>
          <w:bCs/>
          <w:color w:val="000000"/>
        </w:rPr>
        <w:t>（一）防洪减灾工程</w:t>
      </w:r>
    </w:p>
    <w:p>
      <w:pPr>
        <w:pStyle w:val="48"/>
        <w:ind w:firstLine="31680"/>
        <w:rPr>
          <w:color w:val="000000"/>
        </w:rPr>
      </w:pPr>
      <w:r>
        <w:rPr>
          <w:rFonts w:hint="eastAsia"/>
          <w:color w:val="000000"/>
        </w:rPr>
        <w:t>（</w:t>
      </w:r>
      <w:r>
        <w:rPr>
          <w:color w:val="000000"/>
        </w:rPr>
        <w:t>1</w:t>
      </w:r>
      <w:r>
        <w:rPr>
          <w:rFonts w:hint="eastAsia"/>
          <w:color w:val="000000"/>
        </w:rPr>
        <w:t>）流域防洪工程</w:t>
      </w:r>
    </w:p>
    <w:p>
      <w:pPr>
        <w:pStyle w:val="48"/>
        <w:ind w:firstLine="31680"/>
        <w:rPr>
          <w:color w:val="000000"/>
        </w:rPr>
      </w:pPr>
      <w:r>
        <w:rPr>
          <w:color w:val="000000"/>
        </w:rPr>
        <w:t>——</w:t>
      </w:r>
      <w:r>
        <w:rPr>
          <w:rFonts w:hint="eastAsia"/>
          <w:color w:val="000000"/>
        </w:rPr>
        <w:t>淮河流域。实施淮河平原洼地治理泰州市境内工程，整治下官河等</w:t>
      </w:r>
      <w:r>
        <w:rPr>
          <w:color w:val="000000"/>
        </w:rPr>
        <w:t>3</w:t>
      </w:r>
      <w:r>
        <w:rPr>
          <w:rFonts w:hint="eastAsia"/>
          <w:color w:val="000000"/>
        </w:rPr>
        <w:t>条河道</w:t>
      </w:r>
      <w:r>
        <w:rPr>
          <w:color w:val="000000"/>
        </w:rPr>
        <w:t>31</w:t>
      </w:r>
      <w:r>
        <w:rPr>
          <w:rFonts w:hint="eastAsia"/>
          <w:color w:val="000000"/>
        </w:rPr>
        <w:t>千米，拆建跨河桥梁</w:t>
      </w:r>
      <w:r>
        <w:rPr>
          <w:color w:val="000000"/>
        </w:rPr>
        <w:t>5</w:t>
      </w:r>
      <w:r>
        <w:rPr>
          <w:rFonts w:hint="eastAsia"/>
          <w:color w:val="000000"/>
        </w:rPr>
        <w:t>座和沿线建筑物，拆建、加固</w:t>
      </w:r>
      <w:r>
        <w:rPr>
          <w:color w:val="000000"/>
        </w:rPr>
        <w:t>328</w:t>
      </w:r>
      <w:r>
        <w:rPr>
          <w:rFonts w:hint="eastAsia"/>
          <w:color w:val="000000"/>
        </w:rPr>
        <w:t>国道沿线</w:t>
      </w:r>
      <w:r>
        <w:rPr>
          <w:color w:val="000000"/>
        </w:rPr>
        <w:t>4</w:t>
      </w:r>
      <w:r>
        <w:rPr>
          <w:rFonts w:hint="eastAsia"/>
          <w:color w:val="000000"/>
        </w:rPr>
        <w:t>座病险涵闸。</w:t>
      </w:r>
    </w:p>
    <w:p>
      <w:pPr>
        <w:pStyle w:val="48"/>
        <w:ind w:firstLine="31680"/>
        <w:rPr>
          <w:color w:val="000000"/>
        </w:rPr>
      </w:pPr>
      <w:r>
        <w:rPr>
          <w:color w:val="000000"/>
        </w:rPr>
        <w:t>——</w:t>
      </w:r>
      <w:r>
        <w:rPr>
          <w:rFonts w:hint="eastAsia"/>
          <w:color w:val="000000"/>
        </w:rPr>
        <w:t>长江流域。实施长江防洪能力提升堤防加固工程，加固主江堤</w:t>
      </w:r>
      <w:r>
        <w:rPr>
          <w:color w:val="000000"/>
        </w:rPr>
        <w:t>40.4</w:t>
      </w:r>
      <w:r>
        <w:rPr>
          <w:rFonts w:hint="eastAsia"/>
          <w:color w:val="000000"/>
        </w:rPr>
        <w:t>千米、港堤</w:t>
      </w:r>
      <w:r>
        <w:rPr>
          <w:color w:val="000000"/>
        </w:rPr>
        <w:t>10.3</w:t>
      </w:r>
      <w:r>
        <w:rPr>
          <w:rFonts w:hint="eastAsia"/>
          <w:color w:val="000000"/>
        </w:rPr>
        <w:t>千米，除险加固建筑物</w:t>
      </w:r>
      <w:r>
        <w:rPr>
          <w:color w:val="000000"/>
        </w:rPr>
        <w:t>26</w:t>
      </w:r>
      <w:r>
        <w:rPr>
          <w:rFonts w:hint="eastAsia"/>
          <w:color w:val="000000"/>
        </w:rPr>
        <w:t>座。实施长江崩岸治理工程，治理嘶马弯道易坍段</w:t>
      </w:r>
      <w:r>
        <w:rPr>
          <w:color w:val="000000"/>
        </w:rPr>
        <w:t>3</w:t>
      </w:r>
      <w:r>
        <w:rPr>
          <w:rFonts w:hint="eastAsia"/>
          <w:color w:val="000000"/>
        </w:rPr>
        <w:t>千米、北沙易坍段</w:t>
      </w:r>
      <w:r>
        <w:rPr>
          <w:color w:val="000000"/>
        </w:rPr>
        <w:t>9</w:t>
      </w:r>
      <w:r>
        <w:rPr>
          <w:rFonts w:hint="eastAsia"/>
          <w:color w:val="000000"/>
        </w:rPr>
        <w:t>千米。</w:t>
      </w:r>
    </w:p>
    <w:p>
      <w:pPr>
        <w:pStyle w:val="48"/>
        <w:ind w:firstLine="31680"/>
        <w:rPr>
          <w:color w:val="000000"/>
        </w:rPr>
      </w:pPr>
      <w:r>
        <w:rPr>
          <w:rFonts w:hint="eastAsia"/>
          <w:color w:val="000000"/>
        </w:rPr>
        <w:t>（</w:t>
      </w:r>
      <w:r>
        <w:rPr>
          <w:color w:val="000000"/>
        </w:rPr>
        <w:t>2</w:t>
      </w:r>
      <w:r>
        <w:rPr>
          <w:rFonts w:hint="eastAsia"/>
          <w:color w:val="000000"/>
        </w:rPr>
        <w:t>）区域治理工程</w:t>
      </w:r>
    </w:p>
    <w:p>
      <w:pPr>
        <w:pStyle w:val="48"/>
        <w:ind w:firstLine="31680"/>
        <w:rPr>
          <w:color w:val="000000"/>
        </w:rPr>
      </w:pPr>
      <w:r>
        <w:rPr>
          <w:color w:val="000000"/>
        </w:rPr>
        <w:t>——</w:t>
      </w:r>
      <w:r>
        <w:rPr>
          <w:rFonts w:hint="eastAsia"/>
          <w:color w:val="000000"/>
        </w:rPr>
        <w:t>区域骨干河道治理。实施泰州市通南地区引排工程，拓浚河道</w:t>
      </w:r>
      <w:r>
        <w:rPr>
          <w:color w:val="000000"/>
        </w:rPr>
        <w:t>50.6k</w:t>
      </w:r>
      <w:r>
        <w:rPr>
          <w:rFonts w:hint="eastAsia"/>
          <w:color w:val="000000"/>
        </w:rPr>
        <w:t>千米、新建堤防</w:t>
      </w:r>
      <w:r>
        <w:rPr>
          <w:color w:val="000000"/>
        </w:rPr>
        <w:t>34.8</w:t>
      </w:r>
      <w:r>
        <w:rPr>
          <w:rFonts w:hint="eastAsia"/>
          <w:color w:val="000000"/>
        </w:rPr>
        <w:t>千米，新建安宁港控制闸。疏浚整治古马干河、西姜黄河、两泰官河等</w:t>
      </w:r>
      <w:r>
        <w:rPr>
          <w:color w:val="000000"/>
        </w:rPr>
        <w:t>20</w:t>
      </w:r>
      <w:r>
        <w:rPr>
          <w:rFonts w:hint="eastAsia"/>
          <w:color w:val="000000"/>
        </w:rPr>
        <w:t>条区域骨干河道，长</w:t>
      </w:r>
      <w:r>
        <w:rPr>
          <w:color w:val="000000"/>
        </w:rPr>
        <w:t>306.6</w:t>
      </w:r>
      <w:r>
        <w:rPr>
          <w:rFonts w:hint="eastAsia"/>
          <w:color w:val="000000"/>
        </w:rPr>
        <w:t>千米。</w:t>
      </w:r>
    </w:p>
    <w:p>
      <w:pPr>
        <w:pStyle w:val="48"/>
        <w:ind w:firstLine="31680"/>
        <w:rPr>
          <w:color w:val="000000"/>
        </w:rPr>
      </w:pPr>
      <w:r>
        <w:rPr>
          <w:color w:val="000000"/>
        </w:rPr>
        <w:t>——</w:t>
      </w:r>
      <w:r>
        <w:rPr>
          <w:rFonts w:hint="eastAsia"/>
          <w:color w:val="000000"/>
        </w:rPr>
        <w:t>中型泵站更新改造。新建、拆建老鸦港泵站、上五圩港泵站、七圩港泵站等</w:t>
      </w:r>
      <w:r>
        <w:rPr>
          <w:color w:val="000000"/>
        </w:rPr>
        <w:t>3</w:t>
      </w:r>
      <w:r>
        <w:rPr>
          <w:rFonts w:hint="eastAsia"/>
          <w:color w:val="000000"/>
        </w:rPr>
        <w:t>座中型泵站，新增排涝动力</w:t>
      </w:r>
      <w:r>
        <w:rPr>
          <w:color w:val="000000"/>
        </w:rPr>
        <w:t>70</w:t>
      </w:r>
      <w:r>
        <w:rPr>
          <w:rFonts w:hint="eastAsia"/>
          <w:color w:val="000000"/>
        </w:rPr>
        <w:t>立方米</w:t>
      </w:r>
      <w:r>
        <w:rPr>
          <w:color w:val="000000"/>
        </w:rPr>
        <w:t>/</w:t>
      </w:r>
      <w:r>
        <w:rPr>
          <w:rFonts w:hint="eastAsia"/>
          <w:color w:val="000000"/>
        </w:rPr>
        <w:t>秒。</w:t>
      </w:r>
    </w:p>
    <w:p>
      <w:pPr>
        <w:pStyle w:val="48"/>
        <w:ind w:firstLine="31680"/>
        <w:rPr>
          <w:color w:val="000000"/>
        </w:rPr>
      </w:pPr>
      <w:r>
        <w:rPr>
          <w:rFonts w:hint="eastAsia"/>
          <w:color w:val="000000"/>
        </w:rPr>
        <w:t>（</w:t>
      </w:r>
      <w:r>
        <w:rPr>
          <w:color w:val="000000"/>
        </w:rPr>
        <w:t>3</w:t>
      </w:r>
      <w:r>
        <w:rPr>
          <w:rFonts w:hint="eastAsia"/>
          <w:color w:val="000000"/>
        </w:rPr>
        <w:t>）城市防洪排涝工程</w:t>
      </w:r>
    </w:p>
    <w:p>
      <w:pPr>
        <w:pStyle w:val="48"/>
        <w:ind w:firstLine="31680"/>
        <w:rPr>
          <w:color w:val="000000"/>
        </w:rPr>
      </w:pPr>
      <w:r>
        <w:rPr>
          <w:rFonts w:hint="eastAsia"/>
          <w:color w:val="000000"/>
        </w:rPr>
        <w:t>疏浚整治城市排涝河道</w:t>
      </w:r>
      <w:r>
        <w:rPr>
          <w:color w:val="000000"/>
        </w:rPr>
        <w:t>167</w:t>
      </w:r>
      <w:r>
        <w:rPr>
          <w:rFonts w:hint="eastAsia"/>
          <w:color w:val="000000"/>
        </w:rPr>
        <w:t>条，新建闸站</w:t>
      </w:r>
      <w:r>
        <w:rPr>
          <w:color w:val="000000"/>
        </w:rPr>
        <w:t>28</w:t>
      </w:r>
      <w:r>
        <w:rPr>
          <w:rFonts w:hint="eastAsia"/>
          <w:color w:val="000000"/>
        </w:rPr>
        <w:t>座。</w:t>
      </w:r>
    </w:p>
    <w:p>
      <w:pPr>
        <w:pStyle w:val="48"/>
        <w:ind w:firstLine="31680"/>
        <w:rPr>
          <w:color w:val="000000"/>
        </w:rPr>
      </w:pPr>
      <w:r>
        <w:rPr>
          <w:color w:val="000000"/>
        </w:rPr>
        <w:t>——</w:t>
      </w:r>
      <w:r>
        <w:rPr>
          <w:rFonts w:hint="eastAsia"/>
          <w:color w:val="000000"/>
        </w:rPr>
        <w:t>市本级。疏浚整治城市河道</w:t>
      </w:r>
      <w:r>
        <w:rPr>
          <w:color w:val="000000"/>
        </w:rPr>
        <w:t>50</w:t>
      </w:r>
      <w:r>
        <w:rPr>
          <w:rFonts w:hint="eastAsia"/>
          <w:color w:val="000000"/>
        </w:rPr>
        <w:t>条，新建闸站</w:t>
      </w:r>
      <w:r>
        <w:rPr>
          <w:color w:val="000000"/>
        </w:rPr>
        <w:t>5</w:t>
      </w:r>
      <w:r>
        <w:rPr>
          <w:rFonts w:hint="eastAsia"/>
          <w:color w:val="000000"/>
        </w:rPr>
        <w:t>座。</w:t>
      </w:r>
    </w:p>
    <w:p>
      <w:pPr>
        <w:pStyle w:val="48"/>
        <w:ind w:firstLine="31680"/>
        <w:rPr>
          <w:color w:val="000000"/>
        </w:rPr>
      </w:pPr>
      <w:r>
        <w:rPr>
          <w:color w:val="000000"/>
        </w:rPr>
        <w:t>——</w:t>
      </w:r>
      <w:r>
        <w:rPr>
          <w:rFonts w:hint="eastAsia"/>
          <w:color w:val="000000"/>
        </w:rPr>
        <w:t>高港。整治城市河道</w:t>
      </w:r>
      <w:r>
        <w:rPr>
          <w:color w:val="000000"/>
        </w:rPr>
        <w:t>5</w:t>
      </w:r>
      <w:r>
        <w:rPr>
          <w:rFonts w:hint="eastAsia"/>
          <w:color w:val="000000"/>
        </w:rPr>
        <w:t>条，新建闸站</w:t>
      </w:r>
      <w:r>
        <w:rPr>
          <w:color w:val="000000"/>
        </w:rPr>
        <w:t>1</w:t>
      </w:r>
      <w:r>
        <w:rPr>
          <w:rFonts w:hint="eastAsia"/>
          <w:color w:val="000000"/>
        </w:rPr>
        <w:t>座。</w:t>
      </w:r>
    </w:p>
    <w:p>
      <w:pPr>
        <w:pStyle w:val="48"/>
        <w:ind w:firstLine="31680"/>
        <w:rPr>
          <w:color w:val="000000"/>
        </w:rPr>
      </w:pPr>
      <w:r>
        <w:rPr>
          <w:color w:val="000000"/>
        </w:rPr>
        <w:t>——</w:t>
      </w:r>
      <w:r>
        <w:rPr>
          <w:rFonts w:hint="eastAsia"/>
          <w:color w:val="000000"/>
        </w:rPr>
        <w:t>姜堰。整治城市河道</w:t>
      </w:r>
      <w:r>
        <w:rPr>
          <w:color w:val="000000"/>
        </w:rPr>
        <w:t>2</w:t>
      </w:r>
      <w:r>
        <w:rPr>
          <w:rFonts w:hint="eastAsia"/>
          <w:color w:val="000000"/>
        </w:rPr>
        <w:t>条，新建闸站</w:t>
      </w:r>
      <w:r>
        <w:rPr>
          <w:color w:val="000000"/>
        </w:rPr>
        <w:t>2</w:t>
      </w:r>
      <w:r>
        <w:rPr>
          <w:rFonts w:hint="eastAsia"/>
          <w:color w:val="000000"/>
        </w:rPr>
        <w:t>座。</w:t>
      </w:r>
    </w:p>
    <w:p>
      <w:pPr>
        <w:pStyle w:val="48"/>
        <w:ind w:firstLine="31680"/>
        <w:rPr>
          <w:color w:val="000000"/>
        </w:rPr>
      </w:pPr>
      <w:r>
        <w:rPr>
          <w:color w:val="000000"/>
        </w:rPr>
        <w:t>——</w:t>
      </w:r>
      <w:r>
        <w:rPr>
          <w:rFonts w:hint="eastAsia"/>
          <w:color w:val="000000"/>
        </w:rPr>
        <w:t>兴化。整治城市河道</w:t>
      </w:r>
      <w:r>
        <w:rPr>
          <w:color w:val="000000"/>
        </w:rPr>
        <w:t>10</w:t>
      </w:r>
      <w:r>
        <w:rPr>
          <w:rFonts w:hint="eastAsia"/>
          <w:color w:val="000000"/>
        </w:rPr>
        <w:t>条。</w:t>
      </w:r>
    </w:p>
    <w:p>
      <w:pPr>
        <w:pStyle w:val="48"/>
        <w:ind w:firstLine="31680"/>
        <w:rPr>
          <w:color w:val="000000"/>
        </w:rPr>
      </w:pPr>
      <w:r>
        <w:rPr>
          <w:color w:val="000000"/>
        </w:rPr>
        <w:t>——</w:t>
      </w:r>
      <w:r>
        <w:rPr>
          <w:rFonts w:hint="eastAsia"/>
          <w:color w:val="000000"/>
        </w:rPr>
        <w:t>靖江。整治城市河道</w:t>
      </w:r>
      <w:r>
        <w:rPr>
          <w:color w:val="000000"/>
        </w:rPr>
        <w:t>84</w:t>
      </w:r>
      <w:r>
        <w:rPr>
          <w:rFonts w:hint="eastAsia"/>
          <w:color w:val="000000"/>
        </w:rPr>
        <w:t>条，新建闸站</w:t>
      </w:r>
      <w:r>
        <w:rPr>
          <w:color w:val="000000"/>
        </w:rPr>
        <w:t>17</w:t>
      </w:r>
      <w:r>
        <w:rPr>
          <w:rFonts w:hint="eastAsia"/>
          <w:color w:val="000000"/>
        </w:rPr>
        <w:t>座。</w:t>
      </w:r>
    </w:p>
    <w:p>
      <w:pPr>
        <w:pStyle w:val="48"/>
        <w:ind w:firstLine="31680"/>
        <w:rPr>
          <w:color w:val="000000"/>
        </w:rPr>
      </w:pPr>
      <w:r>
        <w:rPr>
          <w:color w:val="000000"/>
        </w:rPr>
        <w:t>——</w:t>
      </w:r>
      <w:r>
        <w:rPr>
          <w:rFonts w:hint="eastAsia"/>
          <w:color w:val="000000"/>
        </w:rPr>
        <w:t>泰兴。整治城市河道</w:t>
      </w:r>
      <w:r>
        <w:rPr>
          <w:color w:val="000000"/>
        </w:rPr>
        <w:t>16</w:t>
      </w:r>
      <w:r>
        <w:rPr>
          <w:rFonts w:hint="eastAsia"/>
          <w:color w:val="000000"/>
        </w:rPr>
        <w:t>条，新建闸站</w:t>
      </w:r>
      <w:r>
        <w:rPr>
          <w:color w:val="000000"/>
        </w:rPr>
        <w:t>3</w:t>
      </w:r>
      <w:r>
        <w:rPr>
          <w:rFonts w:hint="eastAsia"/>
          <w:color w:val="000000"/>
        </w:rPr>
        <w:t>座。</w:t>
      </w:r>
      <w:r>
        <w:rPr>
          <w:color w:val="000000"/>
        </w:rPr>
        <w:t xml:space="preserve"> </w:t>
      </w:r>
    </w:p>
    <w:p>
      <w:pPr>
        <w:pStyle w:val="48"/>
        <w:ind w:firstLine="31680"/>
        <w:rPr>
          <w:b/>
          <w:bCs/>
          <w:color w:val="000000"/>
        </w:rPr>
      </w:pPr>
      <w:r>
        <w:rPr>
          <w:rFonts w:hint="eastAsia"/>
          <w:b/>
          <w:bCs/>
          <w:color w:val="000000"/>
        </w:rPr>
        <w:t>（二）水旱灾害防御</w:t>
      </w:r>
    </w:p>
    <w:p>
      <w:pPr>
        <w:pStyle w:val="48"/>
        <w:ind w:firstLine="31680"/>
        <w:rPr>
          <w:color w:val="000000"/>
          <w:lang w:val="zh-CN"/>
        </w:rPr>
      </w:pPr>
      <w:r>
        <w:rPr>
          <w:rFonts w:hint="eastAsia"/>
          <w:color w:val="000000"/>
          <w:lang w:val="zh-CN"/>
        </w:rPr>
        <w:t>（</w:t>
      </w:r>
      <w:r>
        <w:rPr>
          <w:color w:val="000000"/>
          <w:lang w:val="zh-CN"/>
        </w:rPr>
        <w:t>1</w:t>
      </w:r>
      <w:r>
        <w:rPr>
          <w:rFonts w:hint="eastAsia"/>
          <w:color w:val="000000"/>
          <w:lang w:val="zh-CN"/>
        </w:rPr>
        <w:t>）加强监测预报预警体系建设。加强与气象部门协作，实现实时雨量、雷达测雨及短期临近精细化降雨预报信息的共享公用，提高洪水预报能力；进一步完善预警发布工作机制，加强洪涝干旱和台风等自然灾害的预警，密切监管重大水情工情，及时会商研判。</w:t>
      </w:r>
    </w:p>
    <w:p>
      <w:pPr>
        <w:pStyle w:val="48"/>
        <w:ind w:firstLine="31680"/>
        <w:rPr>
          <w:color w:val="000000"/>
        </w:rPr>
      </w:pPr>
      <w:r>
        <w:rPr>
          <w:rFonts w:hint="eastAsia"/>
          <w:color w:val="000000"/>
          <w:lang w:val="zh-CN"/>
        </w:rPr>
        <w:t>（</w:t>
      </w:r>
      <w:r>
        <w:rPr>
          <w:color w:val="000000"/>
          <w:lang w:val="zh-CN"/>
        </w:rPr>
        <w:t>2</w:t>
      </w:r>
      <w:r>
        <w:rPr>
          <w:rFonts w:hint="eastAsia"/>
          <w:color w:val="000000"/>
          <w:lang w:val="zh-CN"/>
        </w:rPr>
        <w:t>）</w:t>
      </w:r>
      <w:r>
        <w:rPr>
          <w:rFonts w:hint="eastAsia"/>
          <w:color w:val="000000"/>
        </w:rPr>
        <w:t>强化防汛抗旱技术支撑。滚动修订防汛预案、抗旱预案、超标准洪水预案，提升防汛预案管理水平和能力。适时启动洪水风险图编制与应用研究，加强洪水风险图推广应用，提高洪水风险科学识别和预判能力。</w:t>
      </w:r>
    </w:p>
    <w:p>
      <w:pPr>
        <w:pStyle w:val="48"/>
        <w:ind w:firstLine="31680"/>
        <w:rPr>
          <w:color w:val="000000"/>
          <w:lang w:val="zh-CN"/>
        </w:rPr>
      </w:pPr>
      <w:r>
        <w:rPr>
          <w:rFonts w:hint="eastAsia"/>
          <w:color w:val="000000"/>
          <w:lang w:val="zh-CN"/>
        </w:rPr>
        <w:t>（</w:t>
      </w:r>
      <w:r>
        <w:rPr>
          <w:color w:val="000000"/>
          <w:lang w:val="zh-CN"/>
        </w:rPr>
        <w:t>3</w:t>
      </w:r>
      <w:r>
        <w:rPr>
          <w:rFonts w:hint="eastAsia"/>
          <w:color w:val="000000"/>
          <w:lang w:val="zh-CN"/>
        </w:rPr>
        <w:t>）防汛防旱信息化建设。按照满足召开防汛视频会商会议的要求，进一步完善各级防汛抗旱系统。推进农村基层防汛预报预警体系规范化建设和应用，充分发挥基层防汛体系作用。</w:t>
      </w:r>
    </w:p>
    <w:p>
      <w:pPr>
        <w:pStyle w:val="48"/>
        <w:ind w:firstLine="31680"/>
        <w:rPr>
          <w:b/>
          <w:bCs/>
          <w:color w:val="000000"/>
        </w:rPr>
      </w:pPr>
      <w:r>
        <w:rPr>
          <w:rFonts w:hint="eastAsia"/>
          <w:b/>
          <w:bCs/>
          <w:color w:val="000000"/>
        </w:rPr>
        <w:t>（三）安全生产管理</w:t>
      </w:r>
    </w:p>
    <w:p>
      <w:pPr>
        <w:pStyle w:val="48"/>
        <w:ind w:firstLine="31680"/>
        <w:rPr>
          <w:color w:val="000000"/>
        </w:rPr>
      </w:pPr>
      <w:r>
        <w:rPr>
          <w:rFonts w:hint="eastAsia"/>
          <w:color w:val="000000"/>
        </w:rPr>
        <w:t>落实安全生产法律法规和标准规范，</w:t>
      </w:r>
      <w:r>
        <w:rPr>
          <w:rFonts w:hint="eastAsia" w:ascii="仿宋" w:hAnsi="仿宋"/>
          <w:color w:val="000000"/>
          <w:shd w:val="clear" w:color="auto" w:fill="FFFFFF"/>
        </w:rPr>
        <w:t>常态化</w:t>
      </w:r>
      <w:r>
        <w:rPr>
          <w:rFonts w:hint="eastAsia"/>
          <w:color w:val="000000"/>
        </w:rPr>
        <w:t>开展安全生产巡查检查；构建高效应急救援体系，增强</w:t>
      </w:r>
      <w:r>
        <w:rPr>
          <w:rFonts w:hint="eastAsia" w:ascii="仿宋" w:hAnsi="仿宋"/>
          <w:color w:val="000000"/>
          <w:shd w:val="clear" w:color="auto" w:fill="FFFFFF"/>
        </w:rPr>
        <w:t>应对突发事件和安全事故的应急救援能力；定期开展安全隐患排查和风险评估，建立重大安全隐患台账，落实重大安全隐患挂牌督办制度。</w:t>
      </w:r>
    </w:p>
    <w:p>
      <w:pPr>
        <w:pStyle w:val="3"/>
        <w:ind w:firstLine="31680"/>
        <w:rPr>
          <w:color w:val="000000"/>
        </w:rPr>
      </w:pPr>
      <w:bookmarkStart w:id="44" w:name="_Toc41928832"/>
      <w:bookmarkStart w:id="45" w:name="_Toc37420487"/>
      <w:r>
        <w:rPr>
          <w:rFonts w:hint="eastAsia"/>
          <w:color w:val="000000"/>
        </w:rPr>
        <w:t>（二）建设节约集约、高效供给的“资源水利”</w:t>
      </w:r>
      <w:bookmarkEnd w:id="44"/>
      <w:bookmarkEnd w:id="45"/>
    </w:p>
    <w:p>
      <w:pPr>
        <w:ind w:firstLine="31680"/>
        <w:rPr>
          <w:color w:val="000000"/>
        </w:rPr>
      </w:pPr>
      <w:r>
        <w:rPr>
          <w:rStyle w:val="47"/>
          <w:rFonts w:hint="eastAsia"/>
          <w:color w:val="000000"/>
        </w:rPr>
        <w:t>一是</w:t>
      </w:r>
      <w:r>
        <w:rPr>
          <w:rFonts w:hint="eastAsia"/>
          <w:color w:val="000000"/>
        </w:rPr>
        <w:t>全面落实国家节水行动和省、市实施方案，充分发挥水资源是最大刚性约束的重要作用，因地制宜发展节水灌溉工程，加强城镇供水管网改造，推进雨水收集、中水回用等非常规水源利用水平，积极创建节水型社会。</w:t>
      </w:r>
      <w:r>
        <w:rPr>
          <w:rStyle w:val="47"/>
          <w:rFonts w:hint="eastAsia"/>
          <w:color w:val="000000"/>
        </w:rPr>
        <w:t>二是</w:t>
      </w:r>
      <w:r>
        <w:rPr>
          <w:rFonts w:hint="eastAsia"/>
          <w:color w:val="000000"/>
        </w:rPr>
        <w:t>继续推进饮用水源地达标建设和保护，推进区域供水工程，优化完善水资源供给格局和工程配套，提高供水保障。</w:t>
      </w:r>
      <w:r>
        <w:rPr>
          <w:rStyle w:val="47"/>
          <w:rFonts w:hint="eastAsia"/>
          <w:color w:val="000000"/>
        </w:rPr>
        <w:t>三是</w:t>
      </w:r>
      <w:r>
        <w:rPr>
          <w:rFonts w:hint="eastAsia"/>
          <w:color w:val="000000"/>
        </w:rPr>
        <w:t>继续落实最严格水资源管理“三条红线”和“四项制度”，落实监管措施，夯实监管基础，提高水资源规范化和精细化管理水平。</w:t>
      </w:r>
    </w:p>
    <w:p>
      <w:pPr>
        <w:pBdr>
          <w:top w:val="single" w:color="auto" w:sz="4" w:space="1"/>
          <w:left w:val="single" w:color="auto" w:sz="4" w:space="4"/>
          <w:bottom w:val="single" w:color="auto" w:sz="4" w:space="1"/>
          <w:right w:val="single" w:color="auto" w:sz="4" w:space="4"/>
        </w:pBdr>
        <w:ind w:firstLine="0" w:firstLineChars="0"/>
        <w:jc w:val="center"/>
        <w:rPr>
          <w:rStyle w:val="47"/>
          <w:rFonts w:ascii="楷体" w:hAnsi="楷体"/>
          <w:bCs w:val="0"/>
          <w:color w:val="000000"/>
          <w:sz w:val="28"/>
          <w:szCs w:val="28"/>
        </w:rPr>
      </w:pPr>
      <w:r>
        <w:rPr>
          <w:rStyle w:val="47"/>
          <w:rFonts w:hint="eastAsia" w:ascii="楷体" w:hAnsi="楷体"/>
          <w:bCs w:val="0"/>
          <w:color w:val="000000"/>
          <w:sz w:val="28"/>
          <w:szCs w:val="28"/>
        </w:rPr>
        <w:t>专栏二</w:t>
      </w:r>
      <w:r>
        <w:rPr>
          <w:rStyle w:val="47"/>
          <w:rFonts w:ascii="楷体" w:hAnsi="楷体"/>
          <w:bCs w:val="0"/>
          <w:color w:val="000000"/>
          <w:sz w:val="28"/>
          <w:szCs w:val="28"/>
        </w:rPr>
        <w:t xml:space="preserve"> </w:t>
      </w:r>
      <w:r>
        <w:rPr>
          <w:rStyle w:val="47"/>
          <w:rFonts w:hint="eastAsia" w:ascii="楷体" w:hAnsi="楷体"/>
          <w:bCs w:val="0"/>
          <w:color w:val="000000"/>
          <w:sz w:val="28"/>
          <w:szCs w:val="28"/>
        </w:rPr>
        <w:t>“资源水利”重点工程</w:t>
      </w:r>
    </w:p>
    <w:p>
      <w:pPr>
        <w:pStyle w:val="48"/>
        <w:ind w:firstLine="31680"/>
        <w:rPr>
          <w:b/>
          <w:bCs/>
          <w:color w:val="000000"/>
        </w:rPr>
      </w:pPr>
      <w:r>
        <w:rPr>
          <w:rFonts w:hint="eastAsia"/>
          <w:b/>
          <w:bCs/>
          <w:color w:val="000000"/>
        </w:rPr>
        <w:t>（一）节水工程</w:t>
      </w:r>
    </w:p>
    <w:p>
      <w:pPr>
        <w:pStyle w:val="48"/>
        <w:ind w:firstLine="31680"/>
        <w:rPr>
          <w:color w:val="000000"/>
        </w:rPr>
      </w:pPr>
      <w:r>
        <w:rPr>
          <w:rFonts w:hint="eastAsia"/>
          <w:color w:val="000000"/>
        </w:rPr>
        <w:t>（</w:t>
      </w:r>
      <w:r>
        <w:rPr>
          <w:color w:val="000000"/>
        </w:rPr>
        <w:t>1</w:t>
      </w:r>
      <w:r>
        <w:rPr>
          <w:rFonts w:hint="eastAsia"/>
          <w:color w:val="000000"/>
        </w:rPr>
        <w:t>）农业节水工程。继续开展防渗渠道建设，因地制宜推广发展喷灌、微灌和低压管灌等高效节水灌溉工程，每年发展节水灌溉面积</w:t>
      </w:r>
      <w:r>
        <w:rPr>
          <w:color w:val="000000"/>
        </w:rPr>
        <w:t>2</w:t>
      </w:r>
      <w:r>
        <w:rPr>
          <w:rFonts w:hint="eastAsia"/>
          <w:color w:val="000000"/>
        </w:rPr>
        <w:t>万亩；积极推进农艺节水技术，提高田间水利用效率；继续实施大中型灌区续建配套和节水改造。</w:t>
      </w:r>
    </w:p>
    <w:p>
      <w:pPr>
        <w:pStyle w:val="48"/>
        <w:ind w:firstLine="31680"/>
        <w:rPr>
          <w:color w:val="000000"/>
        </w:rPr>
      </w:pPr>
      <w:r>
        <w:rPr>
          <w:rFonts w:hint="eastAsia"/>
          <w:color w:val="000000"/>
        </w:rPr>
        <w:t>（</w:t>
      </w:r>
      <w:r>
        <w:rPr>
          <w:color w:val="000000"/>
        </w:rPr>
        <w:t>2</w:t>
      </w:r>
      <w:r>
        <w:rPr>
          <w:rFonts w:hint="eastAsia"/>
          <w:color w:val="000000"/>
        </w:rPr>
        <w:t>）工业节水工程。推广循环用水、废污水再生利用等节水工艺和技术，推动企业开展节水技术改造和废水</w:t>
      </w:r>
      <w:r>
        <w:rPr>
          <w:color w:val="000000"/>
        </w:rPr>
        <w:t>“</w:t>
      </w:r>
      <w:r>
        <w:rPr>
          <w:rFonts w:hint="eastAsia"/>
          <w:color w:val="000000"/>
        </w:rPr>
        <w:t>近零排放</w:t>
      </w:r>
      <w:r>
        <w:rPr>
          <w:color w:val="000000"/>
        </w:rPr>
        <w:t>”</w:t>
      </w:r>
      <w:r>
        <w:rPr>
          <w:rFonts w:hint="eastAsia"/>
          <w:color w:val="000000"/>
        </w:rPr>
        <w:t>改造。严格实行计划用水监督管理，强化重点用水大户节水监管。每年创建节水型企业</w:t>
      </w:r>
      <w:r>
        <w:rPr>
          <w:color w:val="000000"/>
        </w:rPr>
        <w:t>3</w:t>
      </w:r>
      <w:r>
        <w:rPr>
          <w:rFonts w:hint="eastAsia"/>
          <w:color w:val="000000"/>
        </w:rPr>
        <w:t>个。</w:t>
      </w:r>
    </w:p>
    <w:p>
      <w:pPr>
        <w:pStyle w:val="48"/>
        <w:ind w:firstLine="31680"/>
        <w:rPr>
          <w:color w:val="000000"/>
        </w:rPr>
      </w:pPr>
      <w:r>
        <w:rPr>
          <w:rFonts w:hint="eastAsia"/>
          <w:color w:val="000000"/>
        </w:rPr>
        <w:t>（</w:t>
      </w:r>
      <w:r>
        <w:rPr>
          <w:color w:val="000000"/>
        </w:rPr>
        <w:t>3</w:t>
      </w:r>
      <w:r>
        <w:rPr>
          <w:rFonts w:hint="eastAsia"/>
          <w:color w:val="000000"/>
        </w:rPr>
        <w:t>）城镇节水工程。推进以城市供水管网漏损改造、节水型器具设备推广等为重点的城镇节水工程，推进城市供水管网分区计量管理，规范节水</w:t>
      </w:r>
      <w:r>
        <w:rPr>
          <w:color w:val="000000"/>
        </w:rPr>
        <w:t>“</w:t>
      </w:r>
      <w:r>
        <w:rPr>
          <w:rFonts w:hint="eastAsia"/>
          <w:color w:val="000000"/>
        </w:rPr>
        <w:t>三同时</w:t>
      </w:r>
      <w:r>
        <w:rPr>
          <w:color w:val="000000"/>
        </w:rPr>
        <w:t>”</w:t>
      </w:r>
      <w:r>
        <w:rPr>
          <w:rFonts w:hint="eastAsia"/>
          <w:color w:val="000000"/>
        </w:rPr>
        <w:t>管理。每年创建省级节水型单位、社区、学校</w:t>
      </w:r>
      <w:r>
        <w:rPr>
          <w:color w:val="000000"/>
        </w:rPr>
        <w:t>10</w:t>
      </w:r>
      <w:r>
        <w:rPr>
          <w:rFonts w:hint="eastAsia"/>
          <w:color w:val="000000"/>
        </w:rPr>
        <w:t>个。</w:t>
      </w:r>
    </w:p>
    <w:p>
      <w:pPr>
        <w:pStyle w:val="48"/>
        <w:ind w:firstLine="31680"/>
        <w:rPr>
          <w:color w:val="000000"/>
        </w:rPr>
      </w:pPr>
      <w:r>
        <w:rPr>
          <w:rFonts w:hint="eastAsia"/>
          <w:color w:val="000000"/>
        </w:rPr>
        <w:t>（</w:t>
      </w:r>
      <w:r>
        <w:rPr>
          <w:color w:val="000000"/>
        </w:rPr>
        <w:t>4</w:t>
      </w:r>
      <w:r>
        <w:rPr>
          <w:rFonts w:hint="eastAsia"/>
          <w:color w:val="000000"/>
        </w:rPr>
        <w:t>）非常规水源利用工程。大力推进雨水、再生水等非常规水源的开发利用，将非常规水源纳入区域水资源统一配置，逐年提高利用比例。</w:t>
      </w:r>
    </w:p>
    <w:p>
      <w:pPr>
        <w:pStyle w:val="48"/>
        <w:ind w:firstLine="31680"/>
        <w:rPr>
          <w:b/>
          <w:bCs/>
          <w:color w:val="000000"/>
        </w:rPr>
      </w:pPr>
      <w:r>
        <w:rPr>
          <w:rFonts w:hint="eastAsia"/>
          <w:b/>
          <w:bCs/>
          <w:color w:val="000000"/>
        </w:rPr>
        <w:t>（二）水源地和供水工程</w:t>
      </w:r>
    </w:p>
    <w:p>
      <w:pPr>
        <w:pStyle w:val="48"/>
        <w:ind w:firstLine="31680"/>
        <w:rPr>
          <w:color w:val="000000"/>
        </w:rPr>
      </w:pPr>
      <w:r>
        <w:rPr>
          <w:rFonts w:hint="eastAsia"/>
          <w:color w:val="000000"/>
        </w:rPr>
        <w:t>（</w:t>
      </w:r>
      <w:r>
        <w:rPr>
          <w:color w:val="000000"/>
        </w:rPr>
        <w:t>1</w:t>
      </w:r>
      <w:r>
        <w:rPr>
          <w:rFonts w:hint="eastAsia"/>
          <w:color w:val="000000"/>
        </w:rPr>
        <w:t>）实施泰兴市应急备用水源工程，扩建应急备用水源厂，规模</w:t>
      </w:r>
      <w:r>
        <w:rPr>
          <w:color w:val="000000"/>
        </w:rPr>
        <w:t>10</w:t>
      </w:r>
      <w:r>
        <w:rPr>
          <w:rFonts w:hint="eastAsia"/>
          <w:color w:val="000000"/>
        </w:rPr>
        <w:t>万立方米</w:t>
      </w:r>
      <w:r>
        <w:rPr>
          <w:color w:val="000000"/>
        </w:rPr>
        <w:t>/</w:t>
      </w:r>
      <w:r>
        <w:rPr>
          <w:rFonts w:hint="eastAsia"/>
          <w:color w:val="000000"/>
        </w:rPr>
        <w:t>日。</w:t>
      </w:r>
    </w:p>
    <w:p>
      <w:pPr>
        <w:pStyle w:val="48"/>
        <w:ind w:firstLine="31680"/>
        <w:rPr>
          <w:color w:val="000000"/>
        </w:rPr>
      </w:pPr>
      <w:r>
        <w:rPr>
          <w:rFonts w:hint="eastAsia"/>
          <w:color w:val="000000"/>
        </w:rPr>
        <w:t>（</w:t>
      </w:r>
      <w:r>
        <w:rPr>
          <w:color w:val="000000"/>
        </w:rPr>
        <w:t>2</w:t>
      </w:r>
      <w:r>
        <w:rPr>
          <w:rFonts w:hint="eastAsia"/>
          <w:color w:val="000000"/>
        </w:rPr>
        <w:t>）</w:t>
      </w:r>
      <w:bookmarkStart w:id="46" w:name="_Hlk41920690"/>
      <w:r>
        <w:rPr>
          <w:rFonts w:hint="eastAsia"/>
          <w:color w:val="000000"/>
        </w:rPr>
        <w:t>实施兴化市区域供水备用水源工程，新建</w:t>
      </w:r>
      <w:r>
        <w:rPr>
          <w:color w:val="000000"/>
        </w:rPr>
        <w:t>33</w:t>
      </w:r>
      <w:r>
        <w:rPr>
          <w:rFonts w:hint="eastAsia"/>
          <w:color w:val="000000"/>
        </w:rPr>
        <w:t>万吨</w:t>
      </w:r>
      <w:r>
        <w:rPr>
          <w:color w:val="000000"/>
        </w:rPr>
        <w:t>/</w:t>
      </w:r>
      <w:r>
        <w:rPr>
          <w:rFonts w:hint="eastAsia"/>
          <w:color w:val="000000"/>
        </w:rPr>
        <w:t>日取水泵站</w:t>
      </w:r>
      <w:r>
        <w:rPr>
          <w:color w:val="000000"/>
        </w:rPr>
        <w:t>1</w:t>
      </w:r>
      <w:r>
        <w:rPr>
          <w:rFonts w:hint="eastAsia"/>
          <w:color w:val="000000"/>
        </w:rPr>
        <w:t>座，敷设浑水管道</w:t>
      </w:r>
      <w:r>
        <w:rPr>
          <w:color w:val="000000"/>
        </w:rPr>
        <w:t>2.5</w:t>
      </w:r>
      <w:r>
        <w:rPr>
          <w:rFonts w:hint="eastAsia"/>
          <w:color w:val="000000"/>
        </w:rPr>
        <w:t>千米。</w:t>
      </w:r>
    </w:p>
    <w:p>
      <w:pPr>
        <w:pStyle w:val="48"/>
        <w:ind w:firstLine="31680"/>
        <w:rPr>
          <w:color w:val="000000"/>
        </w:rPr>
      </w:pPr>
      <w:r>
        <w:rPr>
          <w:rFonts w:hint="eastAsia"/>
          <w:color w:val="000000"/>
        </w:rPr>
        <w:t>（</w:t>
      </w:r>
      <w:r>
        <w:rPr>
          <w:color w:val="000000"/>
        </w:rPr>
        <w:t>3</w:t>
      </w:r>
      <w:r>
        <w:rPr>
          <w:rFonts w:hint="eastAsia"/>
          <w:color w:val="000000"/>
        </w:rPr>
        <w:t>）实施姜堰区周山河邢家应急备用水源工程，新建</w:t>
      </w:r>
      <w:r>
        <w:rPr>
          <w:color w:val="000000"/>
        </w:rPr>
        <w:t>15</w:t>
      </w:r>
      <w:r>
        <w:rPr>
          <w:rFonts w:hint="eastAsia"/>
          <w:color w:val="000000"/>
        </w:rPr>
        <w:t>万吨</w:t>
      </w:r>
      <w:r>
        <w:rPr>
          <w:color w:val="000000"/>
        </w:rPr>
        <w:t>/</w:t>
      </w:r>
      <w:r>
        <w:rPr>
          <w:rFonts w:hint="eastAsia"/>
          <w:color w:val="000000"/>
        </w:rPr>
        <w:t>日取水泵站</w:t>
      </w:r>
      <w:r>
        <w:rPr>
          <w:color w:val="000000"/>
        </w:rPr>
        <w:t>1</w:t>
      </w:r>
      <w:r>
        <w:rPr>
          <w:rFonts w:hint="eastAsia"/>
          <w:color w:val="000000"/>
        </w:rPr>
        <w:t>座，敷设输水管道</w:t>
      </w:r>
      <w:r>
        <w:rPr>
          <w:color w:val="000000"/>
        </w:rPr>
        <w:t>9.1</w:t>
      </w:r>
      <w:r>
        <w:rPr>
          <w:rFonts w:hint="eastAsia"/>
          <w:color w:val="000000"/>
        </w:rPr>
        <w:t>千米。</w:t>
      </w:r>
    </w:p>
    <w:bookmarkEnd w:id="46"/>
    <w:p>
      <w:pPr>
        <w:pStyle w:val="48"/>
        <w:ind w:firstLine="31680"/>
        <w:rPr>
          <w:color w:val="000000"/>
        </w:rPr>
      </w:pPr>
      <w:r>
        <w:rPr>
          <w:rFonts w:hint="eastAsia"/>
          <w:color w:val="000000"/>
        </w:rPr>
        <w:t>（</w:t>
      </w:r>
      <w:r>
        <w:rPr>
          <w:color w:val="000000"/>
        </w:rPr>
        <w:t>4</w:t>
      </w:r>
      <w:r>
        <w:rPr>
          <w:rFonts w:hint="eastAsia"/>
          <w:color w:val="000000"/>
        </w:rPr>
        <w:t>）实施泰兴市宝塔水厂深度处理改造工程，建设增压站</w:t>
      </w:r>
      <w:r>
        <w:rPr>
          <w:color w:val="000000"/>
        </w:rPr>
        <w:t>3</w:t>
      </w:r>
      <w:r>
        <w:rPr>
          <w:rFonts w:hint="eastAsia"/>
          <w:color w:val="000000"/>
        </w:rPr>
        <w:t>座，改造乡镇低压区。</w:t>
      </w:r>
    </w:p>
    <w:p>
      <w:pPr>
        <w:pStyle w:val="48"/>
        <w:ind w:firstLine="31680"/>
        <w:rPr>
          <w:b/>
          <w:bCs/>
          <w:color w:val="000000"/>
        </w:rPr>
      </w:pPr>
      <w:r>
        <w:rPr>
          <w:rFonts w:hint="eastAsia"/>
          <w:b/>
          <w:bCs/>
          <w:color w:val="000000"/>
        </w:rPr>
        <w:t>（三）水资源管理</w:t>
      </w:r>
    </w:p>
    <w:p>
      <w:pPr>
        <w:pStyle w:val="48"/>
        <w:ind w:firstLine="31680"/>
        <w:rPr>
          <w:color w:val="000000"/>
        </w:rPr>
      </w:pPr>
      <w:r>
        <w:rPr>
          <w:rFonts w:hint="eastAsia"/>
          <w:color w:val="000000"/>
        </w:rPr>
        <w:t>（</w:t>
      </w:r>
      <w:r>
        <w:rPr>
          <w:color w:val="000000"/>
        </w:rPr>
        <w:t>1</w:t>
      </w:r>
      <w:r>
        <w:rPr>
          <w:rFonts w:hint="eastAsia"/>
          <w:color w:val="000000"/>
        </w:rPr>
        <w:t>）落实最严格水资源管理制度。强化实行最严格水资源管理制度，落实用水总量、用水效率控制目标；继续实行水资源消耗总量和强度双控行动，强化水资源承载能力刚性约束，促进经济发展方式和用水方式转变。</w:t>
      </w:r>
    </w:p>
    <w:p>
      <w:pPr>
        <w:pStyle w:val="48"/>
        <w:ind w:firstLine="31680"/>
        <w:rPr>
          <w:color w:val="000000"/>
        </w:rPr>
      </w:pPr>
      <w:r>
        <w:rPr>
          <w:rFonts w:hint="eastAsia"/>
          <w:color w:val="000000"/>
        </w:rPr>
        <w:t>（</w:t>
      </w:r>
      <w:r>
        <w:rPr>
          <w:color w:val="000000"/>
        </w:rPr>
        <w:t>2</w:t>
      </w:r>
      <w:r>
        <w:rPr>
          <w:rFonts w:hint="eastAsia"/>
          <w:color w:val="000000"/>
        </w:rPr>
        <w:t>）</w:t>
      </w:r>
      <w:r>
        <w:rPr>
          <w:rStyle w:val="46"/>
          <w:rFonts w:hint="eastAsia" w:eastAsia="仿宋"/>
          <w:b w:val="0"/>
          <w:color w:val="000000"/>
          <w:szCs w:val="24"/>
        </w:rPr>
        <w:t>合理确定用水总量。</w:t>
      </w:r>
      <w:r>
        <w:rPr>
          <w:rFonts w:hint="eastAsia"/>
          <w:color w:val="000000"/>
        </w:rPr>
        <w:t>落实省厅总体分水方案，配合开展跨市江河水量分配工作，制定市域内跨行政区域水量分配方案，严格用水总量控制；做好河道水量分配工作，合理确定河道生态水位，保证河湖生态基流。</w:t>
      </w:r>
    </w:p>
    <w:p>
      <w:pPr>
        <w:pStyle w:val="48"/>
        <w:ind w:firstLine="31680"/>
        <w:rPr>
          <w:color w:val="000000"/>
        </w:rPr>
      </w:pPr>
      <w:r>
        <w:rPr>
          <w:rFonts w:hint="eastAsia"/>
          <w:color w:val="000000"/>
        </w:rPr>
        <w:t>（</w:t>
      </w:r>
      <w:r>
        <w:rPr>
          <w:color w:val="000000"/>
        </w:rPr>
        <w:t>3</w:t>
      </w:r>
      <w:r>
        <w:rPr>
          <w:rFonts w:hint="eastAsia"/>
          <w:color w:val="000000"/>
        </w:rPr>
        <w:t>）加强水资源监管能力建设。加强大江大河、重要饮用水源地水质、水量监测，依法打击非法取水等违法行为；严控地下水超采，进一步加大地下水压采力度。</w:t>
      </w:r>
    </w:p>
    <w:p>
      <w:pPr>
        <w:pStyle w:val="48"/>
        <w:ind w:firstLine="31680"/>
        <w:rPr>
          <w:color w:val="000000"/>
        </w:rPr>
      </w:pPr>
      <w:r>
        <w:rPr>
          <w:rFonts w:hint="eastAsia"/>
          <w:color w:val="000000"/>
        </w:rPr>
        <w:t>（</w:t>
      </w:r>
      <w:r>
        <w:rPr>
          <w:color w:val="000000"/>
        </w:rPr>
        <w:t>4</w:t>
      </w:r>
      <w:r>
        <w:rPr>
          <w:rFonts w:hint="eastAsia"/>
          <w:color w:val="000000"/>
        </w:rPr>
        <w:t>）严格水资源论证和取水许可管理。按照国家、省相关规定，进一步规范取水许可申请和受理，规范建设项目水资源论证报告书编制和审查，严格取水许可申请审批，加强取水许可事中和事后监管。</w:t>
      </w:r>
    </w:p>
    <w:p>
      <w:pPr>
        <w:pStyle w:val="48"/>
        <w:ind w:firstLine="31680"/>
        <w:rPr>
          <w:b/>
          <w:bCs/>
          <w:color w:val="000000"/>
        </w:rPr>
      </w:pPr>
      <w:r>
        <w:rPr>
          <w:rFonts w:hint="eastAsia"/>
          <w:color w:val="000000"/>
        </w:rPr>
        <w:t>（</w:t>
      </w:r>
      <w:r>
        <w:rPr>
          <w:color w:val="000000"/>
        </w:rPr>
        <w:t>5</w:t>
      </w:r>
      <w:r>
        <w:rPr>
          <w:rFonts w:hint="eastAsia"/>
          <w:color w:val="000000"/>
        </w:rPr>
        <w:t>）落实节水评价制度。全面推进规划和建设项目节水评价工作，规范节水评价报告编制和严格审查把关，从严叫停节水评价不通过的规划和建设项目，促使规划和建设项目高效用水。</w:t>
      </w:r>
    </w:p>
    <w:p>
      <w:pPr>
        <w:pStyle w:val="3"/>
        <w:ind w:firstLine="31680"/>
        <w:rPr>
          <w:color w:val="000000"/>
        </w:rPr>
      </w:pPr>
      <w:bookmarkStart w:id="47" w:name="_Toc37420488"/>
      <w:bookmarkStart w:id="48" w:name="_Toc41928833"/>
      <w:r>
        <w:rPr>
          <w:rFonts w:hint="eastAsia"/>
          <w:color w:val="000000"/>
        </w:rPr>
        <w:t>（三）建设河湖健康、空间有序的“生态水利”</w:t>
      </w:r>
      <w:bookmarkEnd w:id="47"/>
      <w:bookmarkEnd w:id="48"/>
    </w:p>
    <w:p>
      <w:pPr>
        <w:ind w:firstLine="31680"/>
        <w:rPr>
          <w:color w:val="000000"/>
        </w:rPr>
      </w:pPr>
      <w:r>
        <w:rPr>
          <w:rStyle w:val="47"/>
          <w:rFonts w:hint="eastAsia"/>
          <w:color w:val="000000"/>
        </w:rPr>
        <w:t>一是</w:t>
      </w:r>
      <w:r>
        <w:rPr>
          <w:rFonts w:hint="eastAsia"/>
          <w:color w:val="000000"/>
        </w:rPr>
        <w:t>以长江为重点，积极推进岸线占用退还、滨河空间带修复等生态修复工程，筑牢生态安全屏障；以城区重要景观河湖、生态脆弱河道为重点，开展河湖生态治理，恢复和改善河湖生态。</w:t>
      </w:r>
      <w:r>
        <w:rPr>
          <w:rStyle w:val="47"/>
          <w:rFonts w:hint="eastAsia"/>
          <w:color w:val="000000"/>
        </w:rPr>
        <w:t>二是</w:t>
      </w:r>
      <w:r>
        <w:rPr>
          <w:rFonts w:hint="eastAsia"/>
          <w:color w:val="000000"/>
        </w:rPr>
        <w:t>积极推进城乡水系连通整治工程，增加生态水量补给，提高水系流动性和连通性。</w:t>
      </w:r>
      <w:r>
        <w:rPr>
          <w:rStyle w:val="47"/>
          <w:rFonts w:hint="eastAsia"/>
          <w:color w:val="000000"/>
        </w:rPr>
        <w:t>三是</w:t>
      </w:r>
      <w:r>
        <w:rPr>
          <w:rFonts w:hint="eastAsia"/>
          <w:color w:val="000000"/>
        </w:rPr>
        <w:t>继续推进退圩还湖综合治理，恢复提升湖荡调蓄能力和水环境容量，改善湖泊生态环境。</w:t>
      </w:r>
      <w:r>
        <w:rPr>
          <w:rStyle w:val="47"/>
          <w:rFonts w:hint="eastAsia"/>
          <w:color w:val="000000"/>
        </w:rPr>
        <w:t>四是</w:t>
      </w:r>
      <w:r>
        <w:rPr>
          <w:rFonts w:hint="eastAsia"/>
          <w:color w:val="000000"/>
        </w:rPr>
        <w:t>持续推进水土流失综合治理，加快建设生态清洁型小流域，加大水土流失治理比例</w:t>
      </w:r>
      <w:r>
        <w:rPr>
          <w:rFonts w:hint="eastAsia"/>
          <w:color w:val="000000"/>
          <w:lang w:val="zh-CN"/>
        </w:rPr>
        <w:t>。</w:t>
      </w:r>
      <w:r>
        <w:rPr>
          <w:rStyle w:val="47"/>
          <w:rFonts w:hint="eastAsia"/>
          <w:color w:val="000000"/>
        </w:rPr>
        <w:t>五是</w:t>
      </w:r>
      <w:r>
        <w:rPr>
          <w:rFonts w:hint="eastAsia"/>
          <w:color w:val="000000"/>
          <w:lang w:val="zh-CN"/>
        </w:rPr>
        <w:t>推进全市国家级水管单位创建工作。</w:t>
      </w:r>
    </w:p>
    <w:p>
      <w:pPr>
        <w:pBdr>
          <w:top w:val="single" w:color="auto" w:sz="4" w:space="1"/>
          <w:left w:val="single" w:color="auto" w:sz="4" w:space="4"/>
          <w:bottom w:val="single" w:color="auto" w:sz="4" w:space="1"/>
          <w:right w:val="single" w:color="auto" w:sz="4" w:space="4"/>
        </w:pBdr>
        <w:ind w:firstLine="0" w:firstLineChars="0"/>
        <w:jc w:val="center"/>
        <w:rPr>
          <w:rStyle w:val="47"/>
          <w:rFonts w:ascii="楷体" w:hAnsi="楷体"/>
          <w:bCs w:val="0"/>
          <w:color w:val="000000"/>
          <w:sz w:val="28"/>
          <w:szCs w:val="28"/>
        </w:rPr>
      </w:pPr>
      <w:r>
        <w:rPr>
          <w:rStyle w:val="47"/>
          <w:rFonts w:hint="eastAsia" w:ascii="楷体" w:hAnsi="楷体"/>
          <w:bCs w:val="0"/>
          <w:color w:val="000000"/>
          <w:sz w:val="28"/>
          <w:szCs w:val="28"/>
        </w:rPr>
        <w:t>专栏三</w:t>
      </w:r>
      <w:r>
        <w:rPr>
          <w:rStyle w:val="47"/>
          <w:rFonts w:ascii="楷体" w:hAnsi="楷体"/>
          <w:bCs w:val="0"/>
          <w:color w:val="000000"/>
          <w:sz w:val="28"/>
          <w:szCs w:val="28"/>
        </w:rPr>
        <w:t xml:space="preserve"> </w:t>
      </w:r>
      <w:r>
        <w:rPr>
          <w:rStyle w:val="47"/>
          <w:rFonts w:hint="eastAsia" w:ascii="楷体" w:hAnsi="楷体"/>
          <w:bCs w:val="0"/>
          <w:color w:val="000000"/>
          <w:sz w:val="28"/>
          <w:szCs w:val="28"/>
        </w:rPr>
        <w:t>“生态水利”重点工程</w:t>
      </w:r>
    </w:p>
    <w:p>
      <w:pPr>
        <w:pStyle w:val="48"/>
        <w:ind w:firstLine="31680"/>
        <w:rPr>
          <w:b/>
          <w:bCs/>
          <w:color w:val="000000"/>
        </w:rPr>
      </w:pPr>
      <w:r>
        <w:rPr>
          <w:rFonts w:hint="eastAsia"/>
          <w:b/>
          <w:bCs/>
          <w:color w:val="000000"/>
        </w:rPr>
        <w:t>（一）河道生态治理工程</w:t>
      </w:r>
    </w:p>
    <w:p>
      <w:pPr>
        <w:pStyle w:val="48"/>
        <w:ind w:firstLine="31680"/>
        <w:rPr>
          <w:color w:val="000000"/>
        </w:rPr>
      </w:pPr>
      <w:r>
        <w:rPr>
          <w:rFonts w:hint="eastAsia"/>
          <w:color w:val="000000"/>
        </w:rPr>
        <w:t>（</w:t>
      </w:r>
      <w:r>
        <w:rPr>
          <w:color w:val="000000"/>
        </w:rPr>
        <w:t>1</w:t>
      </w:r>
      <w:r>
        <w:rPr>
          <w:rFonts w:hint="eastAsia"/>
          <w:color w:val="000000"/>
        </w:rPr>
        <w:t>）依托长江综合治理，推进长江水生态修复工程。</w:t>
      </w:r>
    </w:p>
    <w:p>
      <w:pPr>
        <w:pStyle w:val="48"/>
        <w:ind w:firstLine="31680"/>
        <w:rPr>
          <w:color w:val="000000"/>
        </w:rPr>
      </w:pPr>
      <w:r>
        <w:rPr>
          <w:rFonts w:hint="eastAsia"/>
          <w:color w:val="000000"/>
        </w:rPr>
        <w:t>（</w:t>
      </w:r>
      <w:r>
        <w:rPr>
          <w:color w:val="000000"/>
        </w:rPr>
        <w:t>2</w:t>
      </w:r>
      <w:r>
        <w:rPr>
          <w:rFonts w:hint="eastAsia"/>
          <w:color w:val="000000"/>
        </w:rPr>
        <w:t>）实施城区重要景观河湖和生态脆弱河道生态治理工程，治理河道</w:t>
      </w:r>
      <w:r>
        <w:rPr>
          <w:color w:val="000000"/>
        </w:rPr>
        <w:t>55</w:t>
      </w:r>
      <w:r>
        <w:rPr>
          <w:rFonts w:hint="eastAsia"/>
          <w:color w:val="000000"/>
        </w:rPr>
        <w:t>条</w:t>
      </w:r>
      <w:r>
        <w:rPr>
          <w:color w:val="000000"/>
        </w:rPr>
        <w:t>150</w:t>
      </w:r>
      <w:r>
        <w:rPr>
          <w:rFonts w:hint="eastAsia"/>
          <w:color w:val="000000"/>
        </w:rPr>
        <w:t>千米，恢复和改善河道生态功能。</w:t>
      </w:r>
    </w:p>
    <w:p>
      <w:pPr>
        <w:pStyle w:val="48"/>
        <w:ind w:firstLine="31680"/>
        <w:rPr>
          <w:b/>
          <w:bCs/>
          <w:color w:val="000000"/>
        </w:rPr>
      </w:pPr>
      <w:r>
        <w:rPr>
          <w:rFonts w:hint="eastAsia"/>
          <w:b/>
          <w:bCs/>
          <w:color w:val="000000"/>
        </w:rPr>
        <w:t>（二）水系连通工程</w:t>
      </w:r>
    </w:p>
    <w:p>
      <w:pPr>
        <w:pStyle w:val="48"/>
        <w:ind w:firstLine="31680"/>
        <w:rPr>
          <w:color w:val="000000"/>
        </w:rPr>
      </w:pPr>
      <w:r>
        <w:rPr>
          <w:rFonts w:hint="eastAsia"/>
          <w:color w:val="000000"/>
        </w:rPr>
        <w:t>实施城区和重要城镇水系连通工程，重点沟通骨干河道</w:t>
      </w:r>
      <w:r>
        <w:rPr>
          <w:color w:val="000000"/>
        </w:rPr>
        <w:t>131</w:t>
      </w:r>
      <w:r>
        <w:rPr>
          <w:rFonts w:hint="eastAsia"/>
          <w:color w:val="000000"/>
        </w:rPr>
        <w:t>条，新开河道</w:t>
      </w:r>
      <w:r>
        <w:rPr>
          <w:color w:val="000000"/>
        </w:rPr>
        <w:t>79</w:t>
      </w:r>
      <w:r>
        <w:rPr>
          <w:rFonts w:hint="eastAsia"/>
          <w:color w:val="000000"/>
        </w:rPr>
        <w:t>千米，配套实施拆坝建桥、新建涵管等工程，改善水流条件和水环境质量。</w:t>
      </w:r>
    </w:p>
    <w:p>
      <w:pPr>
        <w:pStyle w:val="48"/>
        <w:ind w:firstLine="31680"/>
        <w:rPr>
          <w:b/>
          <w:bCs/>
          <w:color w:val="000000"/>
        </w:rPr>
      </w:pPr>
      <w:r>
        <w:rPr>
          <w:rFonts w:hint="eastAsia"/>
          <w:b/>
          <w:bCs/>
          <w:color w:val="000000"/>
        </w:rPr>
        <w:t>（三）退圩还湖工程</w:t>
      </w:r>
    </w:p>
    <w:p>
      <w:pPr>
        <w:pStyle w:val="48"/>
        <w:ind w:firstLine="31680"/>
        <w:rPr>
          <w:color w:val="000000"/>
        </w:rPr>
      </w:pPr>
      <w:r>
        <w:rPr>
          <w:rFonts w:hint="eastAsia"/>
          <w:color w:val="000000"/>
        </w:rPr>
        <w:t>稳步推进姜堰区龙溪港、夏家汪、喜鹊湖和兴化市陈堡草荡、平旺湖、洋汊荡、蜈蚣湖等</w:t>
      </w:r>
      <w:r>
        <w:rPr>
          <w:color w:val="000000"/>
        </w:rPr>
        <w:t>7</w:t>
      </w:r>
      <w:r>
        <w:rPr>
          <w:rFonts w:hint="eastAsia"/>
          <w:color w:val="000000"/>
        </w:rPr>
        <w:t>个湖荡退圩还湖工程，恢复湖泊自由水面，改善湖泊生态条件。退圩还湖总面积</w:t>
      </w:r>
      <w:r>
        <w:rPr>
          <w:color w:val="000000"/>
        </w:rPr>
        <w:t>63.2</w:t>
      </w:r>
      <w:r>
        <w:rPr>
          <w:rFonts w:hint="eastAsia"/>
          <w:color w:val="000000"/>
        </w:rPr>
        <w:t>平方千米。</w:t>
      </w:r>
    </w:p>
    <w:p>
      <w:pPr>
        <w:pStyle w:val="48"/>
        <w:ind w:firstLine="31680"/>
        <w:rPr>
          <w:b/>
          <w:bCs/>
          <w:color w:val="000000"/>
        </w:rPr>
      </w:pPr>
      <w:r>
        <w:rPr>
          <w:rFonts w:hint="eastAsia"/>
          <w:b/>
          <w:bCs/>
          <w:color w:val="000000"/>
        </w:rPr>
        <w:t>（四）水土保持</w:t>
      </w:r>
    </w:p>
    <w:p>
      <w:pPr>
        <w:pStyle w:val="48"/>
        <w:ind w:firstLine="31680"/>
        <w:rPr>
          <w:color w:val="000000"/>
        </w:rPr>
      </w:pPr>
      <w:r>
        <w:rPr>
          <w:rFonts w:hint="eastAsia"/>
          <w:color w:val="000000"/>
        </w:rPr>
        <w:t>以生态小流域治理、农村河道绿化升级等项目为抓手，推进各市（区）水土保持工程建设，治理水土流失面积</w:t>
      </w:r>
      <w:r>
        <w:rPr>
          <w:color w:val="000000"/>
        </w:rPr>
        <w:t>11.03</w:t>
      </w:r>
      <w:r>
        <w:rPr>
          <w:rFonts w:hint="eastAsia"/>
          <w:color w:val="000000"/>
        </w:rPr>
        <w:t>平方千米，建设省级生态清洁型小流域</w:t>
      </w:r>
      <w:r>
        <w:rPr>
          <w:color w:val="000000"/>
        </w:rPr>
        <w:t>2</w:t>
      </w:r>
      <w:r>
        <w:rPr>
          <w:rFonts w:hint="eastAsia"/>
          <w:color w:val="000000"/>
        </w:rPr>
        <w:t>条，</w:t>
      </w:r>
      <w:r>
        <w:rPr>
          <w:rFonts w:hint="eastAsia"/>
          <w:color w:val="000000"/>
          <w:lang w:val="zh-CN"/>
        </w:rPr>
        <w:t>新建</w:t>
      </w:r>
      <w:r>
        <w:rPr>
          <w:rFonts w:hint="eastAsia"/>
          <w:color w:val="000000"/>
        </w:rPr>
        <w:t>坡面径流场监测站</w:t>
      </w:r>
      <w:r>
        <w:rPr>
          <w:color w:val="000000"/>
        </w:rPr>
        <w:t>1</w:t>
      </w:r>
      <w:r>
        <w:rPr>
          <w:rFonts w:hint="eastAsia"/>
          <w:color w:val="000000"/>
        </w:rPr>
        <w:t>座。</w:t>
      </w:r>
    </w:p>
    <w:p>
      <w:pPr>
        <w:pStyle w:val="48"/>
        <w:ind w:firstLine="31680"/>
        <w:rPr>
          <w:b/>
          <w:bCs/>
          <w:color w:val="000000"/>
        </w:rPr>
      </w:pPr>
      <w:r>
        <w:rPr>
          <w:rFonts w:hint="eastAsia"/>
          <w:b/>
          <w:bCs/>
          <w:color w:val="000000"/>
        </w:rPr>
        <w:t>（五）水利风景区</w:t>
      </w:r>
    </w:p>
    <w:p>
      <w:pPr>
        <w:pStyle w:val="48"/>
        <w:ind w:firstLine="31680"/>
        <w:rPr>
          <w:color w:val="000000"/>
        </w:rPr>
      </w:pPr>
      <w:r>
        <w:rPr>
          <w:rFonts w:hint="eastAsia"/>
          <w:color w:val="000000"/>
        </w:rPr>
        <w:t>推进泰兴市马甸枢纽工程管理所创建国家级水管单位，填补我市国家级水管单位空白。</w:t>
      </w:r>
    </w:p>
    <w:p>
      <w:pPr>
        <w:pStyle w:val="3"/>
        <w:ind w:firstLine="31680"/>
        <w:rPr>
          <w:color w:val="000000"/>
        </w:rPr>
      </w:pPr>
      <w:bookmarkStart w:id="49" w:name="_Toc37420489"/>
      <w:bookmarkStart w:id="50" w:name="_Toc41928834"/>
      <w:r>
        <w:rPr>
          <w:rFonts w:hint="eastAsia"/>
          <w:color w:val="000000"/>
        </w:rPr>
        <w:t>（四）建设设施完善、现代生态的“农村水利</w:t>
      </w:r>
      <w:bookmarkEnd w:id="49"/>
      <w:r>
        <w:rPr>
          <w:rFonts w:hint="eastAsia"/>
          <w:color w:val="000000"/>
        </w:rPr>
        <w:t>”</w:t>
      </w:r>
      <w:bookmarkEnd w:id="50"/>
    </w:p>
    <w:p>
      <w:pPr>
        <w:ind w:firstLine="31680"/>
        <w:rPr>
          <w:color w:val="000000"/>
        </w:rPr>
      </w:pPr>
      <w:r>
        <w:rPr>
          <w:rFonts w:hint="eastAsia"/>
          <w:color w:val="000000"/>
        </w:rPr>
        <w:t>落实国家乡村振兴战略和省、市实施规划要求，积极推进大中型灌区续建配套与节水改造，增强灌区标准化、生态化、自动化、规范化水平，改善农田灌排条件，提升农业综合生产能力；继续开展农村河道轮浚整治，建成一批“水流顺畅、水质达标、引排自如、生态良好”的农村生态样板河道，持续改善农村人居环境。</w:t>
      </w:r>
    </w:p>
    <w:p>
      <w:pPr>
        <w:pBdr>
          <w:top w:val="single" w:color="auto" w:sz="4" w:space="1"/>
          <w:left w:val="single" w:color="auto" w:sz="4" w:space="4"/>
          <w:bottom w:val="single" w:color="auto" w:sz="4" w:space="1"/>
          <w:right w:val="single" w:color="auto" w:sz="4" w:space="4"/>
        </w:pBdr>
        <w:ind w:firstLine="0" w:firstLineChars="0"/>
        <w:jc w:val="center"/>
        <w:rPr>
          <w:rStyle w:val="47"/>
          <w:rFonts w:ascii="楷体" w:hAnsi="楷体"/>
          <w:bCs w:val="0"/>
          <w:color w:val="000000"/>
          <w:sz w:val="28"/>
          <w:szCs w:val="28"/>
        </w:rPr>
      </w:pPr>
      <w:r>
        <w:rPr>
          <w:rStyle w:val="47"/>
          <w:rFonts w:hint="eastAsia" w:ascii="楷体" w:hAnsi="楷体"/>
          <w:bCs w:val="0"/>
          <w:color w:val="000000"/>
          <w:sz w:val="28"/>
          <w:szCs w:val="28"/>
        </w:rPr>
        <w:t>专栏四</w:t>
      </w:r>
      <w:r>
        <w:rPr>
          <w:rStyle w:val="47"/>
          <w:rFonts w:ascii="楷体" w:hAnsi="楷体"/>
          <w:bCs w:val="0"/>
          <w:color w:val="000000"/>
          <w:sz w:val="28"/>
          <w:szCs w:val="28"/>
        </w:rPr>
        <w:t xml:space="preserve"> </w:t>
      </w:r>
      <w:r>
        <w:rPr>
          <w:rStyle w:val="47"/>
          <w:rFonts w:hint="eastAsia" w:ascii="楷体" w:hAnsi="楷体"/>
          <w:bCs w:val="0"/>
          <w:color w:val="000000"/>
          <w:sz w:val="28"/>
          <w:szCs w:val="28"/>
        </w:rPr>
        <w:t>“农村水利”重点工程</w:t>
      </w:r>
    </w:p>
    <w:p>
      <w:pPr>
        <w:pStyle w:val="48"/>
        <w:ind w:firstLine="31680"/>
        <w:rPr>
          <w:b/>
          <w:bCs/>
          <w:color w:val="000000"/>
        </w:rPr>
      </w:pPr>
      <w:r>
        <w:rPr>
          <w:rFonts w:hint="eastAsia"/>
          <w:b/>
          <w:bCs/>
          <w:color w:val="000000"/>
        </w:rPr>
        <w:t>（一）大中型灌区现代化改造工程</w:t>
      </w:r>
    </w:p>
    <w:p>
      <w:pPr>
        <w:pStyle w:val="48"/>
        <w:ind w:firstLine="31680"/>
        <w:rPr>
          <w:color w:val="000000"/>
        </w:rPr>
      </w:pPr>
      <w:r>
        <w:rPr>
          <w:rFonts w:hint="eastAsia"/>
          <w:color w:val="000000"/>
        </w:rPr>
        <w:t>以城黄灌区、溱潼灌区、黄桥灌区、周山河灌区、孤山灌区等大中型灌区续建配套和节水改造工程为重点，积极推进水源工程、引排工程、河网整治工程建设，因地制宜发展高效节水灌溉和智能灌溉。</w:t>
      </w:r>
    </w:p>
    <w:p>
      <w:pPr>
        <w:pStyle w:val="48"/>
        <w:ind w:firstLine="31680"/>
        <w:rPr>
          <w:b/>
          <w:bCs/>
          <w:color w:val="000000"/>
        </w:rPr>
      </w:pPr>
      <w:r>
        <w:rPr>
          <w:rFonts w:hint="eastAsia"/>
          <w:b/>
          <w:bCs/>
          <w:color w:val="000000"/>
        </w:rPr>
        <w:t>（二）农村河道疏浚工程</w:t>
      </w:r>
    </w:p>
    <w:p>
      <w:pPr>
        <w:pStyle w:val="48"/>
        <w:ind w:firstLine="31680"/>
        <w:rPr>
          <w:color w:val="000000"/>
        </w:rPr>
      </w:pPr>
      <w:r>
        <w:rPr>
          <w:rFonts w:hint="eastAsia"/>
          <w:color w:val="000000"/>
        </w:rPr>
        <w:t>继续实施农村河道疏浚整治工程，疏浚农村河道</w:t>
      </w:r>
      <w:r>
        <w:rPr>
          <w:color w:val="000000"/>
        </w:rPr>
        <w:t>4500</w:t>
      </w:r>
      <w:r>
        <w:rPr>
          <w:rFonts w:hint="eastAsia"/>
          <w:color w:val="000000"/>
        </w:rPr>
        <w:t>条</w:t>
      </w:r>
      <w:r>
        <w:rPr>
          <w:color w:val="000000"/>
        </w:rPr>
        <w:t>900</w:t>
      </w:r>
      <w:r>
        <w:rPr>
          <w:rFonts w:hint="eastAsia"/>
          <w:color w:val="000000"/>
        </w:rPr>
        <w:t>千米，高标准建设</w:t>
      </w:r>
      <w:r>
        <w:rPr>
          <w:color w:val="000000"/>
        </w:rPr>
        <w:t>230</w:t>
      </w:r>
      <w:r>
        <w:rPr>
          <w:rFonts w:hint="eastAsia"/>
          <w:color w:val="000000"/>
        </w:rPr>
        <w:t>条农村生态河道，进一步畅通水系、恢复引排、改善环境、修复生态。</w:t>
      </w:r>
    </w:p>
    <w:p>
      <w:pPr>
        <w:pStyle w:val="48"/>
        <w:ind w:firstLine="31680"/>
        <w:rPr>
          <w:b/>
          <w:bCs/>
          <w:color w:val="000000"/>
        </w:rPr>
      </w:pPr>
      <w:r>
        <w:rPr>
          <w:rFonts w:hint="eastAsia"/>
          <w:b/>
          <w:bCs/>
          <w:color w:val="000000"/>
        </w:rPr>
        <w:t>（三）小型农田水利工程管护</w:t>
      </w:r>
    </w:p>
    <w:p>
      <w:pPr>
        <w:pStyle w:val="48"/>
        <w:ind w:firstLine="31680"/>
        <w:rPr>
          <w:color w:val="000000"/>
        </w:rPr>
      </w:pPr>
      <w:r>
        <w:rPr>
          <w:rFonts w:hint="eastAsia"/>
          <w:color w:val="000000"/>
        </w:rPr>
        <w:t>积极开展小型农田水利管护工程，包括县级灌排骨干工程和小型农田水利设施的维修养护、量测水设施与信息化设施的维修养护、开展农田水利维修养护所必要的仪器设备购置等维修养护等内容。</w:t>
      </w:r>
    </w:p>
    <w:p>
      <w:pPr>
        <w:pStyle w:val="3"/>
        <w:ind w:firstLine="31680"/>
        <w:rPr>
          <w:color w:val="000000"/>
        </w:rPr>
      </w:pPr>
      <w:bookmarkStart w:id="51" w:name="_Toc37420490"/>
      <w:bookmarkStart w:id="52" w:name="_Toc41928835"/>
      <w:r>
        <w:rPr>
          <w:rFonts w:hint="eastAsia"/>
          <w:color w:val="000000"/>
        </w:rPr>
        <w:t>（五）建设安全实用、高效共享的“智慧水利”</w:t>
      </w:r>
      <w:bookmarkEnd w:id="51"/>
      <w:bookmarkEnd w:id="52"/>
    </w:p>
    <w:p>
      <w:pPr>
        <w:ind w:firstLine="31680"/>
        <w:rPr>
          <w:color w:val="000000"/>
        </w:rPr>
      </w:pPr>
      <w:r>
        <w:rPr>
          <w:rFonts w:hint="eastAsia"/>
          <w:color w:val="000000"/>
        </w:rPr>
        <w:t>以智慧决策、互通互联、智能应用为重点，全面实施智慧水利“</w:t>
      </w:r>
      <w:r>
        <w:rPr>
          <w:color w:val="000000"/>
        </w:rPr>
        <w:t>118</w:t>
      </w:r>
      <w:r>
        <w:rPr>
          <w:rFonts w:hint="eastAsia"/>
          <w:color w:val="000000"/>
        </w:rPr>
        <w:t>”工程，提升全市智慧水利发展深度和水平。建立“共享、互联”的</w:t>
      </w:r>
      <w:r>
        <w:rPr>
          <w:color w:val="000000"/>
        </w:rPr>
        <w:t>1</w:t>
      </w:r>
      <w:r>
        <w:rPr>
          <w:rFonts w:hint="eastAsia"/>
          <w:color w:val="000000"/>
        </w:rPr>
        <w:t>朵智慧水利混合云，实现数据汇集、传输和决策的集中处理；建立“标准、开放”的</w:t>
      </w:r>
      <w:r>
        <w:rPr>
          <w:color w:val="000000"/>
        </w:rPr>
        <w:t>1</w:t>
      </w:r>
      <w:r>
        <w:rPr>
          <w:rFonts w:hint="eastAsia"/>
          <w:color w:val="000000"/>
        </w:rPr>
        <w:t>个水利统一门户，实现框架、标准、服务、门户的协同统筹；建立“实用、智能”的</w:t>
      </w:r>
      <w:r>
        <w:rPr>
          <w:rFonts w:hAnsi="楷体" w:cs="楷体"/>
          <w:color w:val="000000"/>
        </w:rPr>
        <w:t>8</w:t>
      </w:r>
      <w:r>
        <w:rPr>
          <w:rFonts w:hint="eastAsia" w:hAnsi="楷体" w:cs="楷体"/>
          <w:color w:val="000000"/>
        </w:rPr>
        <w:t>大水利基础业务应用系统，辅助提升水利行业强监管能力和现代化服务水平。</w:t>
      </w:r>
    </w:p>
    <w:p>
      <w:pPr>
        <w:pBdr>
          <w:top w:val="single" w:color="auto" w:sz="4" w:space="1"/>
          <w:left w:val="single" w:color="auto" w:sz="4" w:space="4"/>
          <w:bottom w:val="single" w:color="auto" w:sz="4" w:space="1"/>
          <w:right w:val="single" w:color="auto" w:sz="4" w:space="4"/>
        </w:pBdr>
        <w:ind w:firstLine="0" w:firstLineChars="0"/>
        <w:jc w:val="center"/>
        <w:rPr>
          <w:rStyle w:val="47"/>
          <w:rFonts w:ascii="楷体" w:hAnsi="楷体"/>
          <w:bCs w:val="0"/>
          <w:color w:val="000000"/>
          <w:sz w:val="28"/>
          <w:szCs w:val="28"/>
        </w:rPr>
      </w:pPr>
      <w:r>
        <w:rPr>
          <w:rStyle w:val="47"/>
          <w:rFonts w:hint="eastAsia" w:ascii="楷体" w:hAnsi="楷体"/>
          <w:bCs w:val="0"/>
          <w:color w:val="000000"/>
          <w:sz w:val="28"/>
          <w:szCs w:val="28"/>
        </w:rPr>
        <w:t>专栏五</w:t>
      </w:r>
      <w:r>
        <w:rPr>
          <w:rStyle w:val="47"/>
          <w:rFonts w:ascii="楷体" w:hAnsi="楷体"/>
          <w:bCs w:val="0"/>
          <w:color w:val="000000"/>
          <w:sz w:val="28"/>
          <w:szCs w:val="28"/>
        </w:rPr>
        <w:t xml:space="preserve"> </w:t>
      </w:r>
      <w:r>
        <w:rPr>
          <w:rStyle w:val="47"/>
          <w:rFonts w:hint="eastAsia" w:ascii="楷体" w:hAnsi="楷体"/>
          <w:bCs w:val="0"/>
          <w:color w:val="000000"/>
          <w:sz w:val="28"/>
          <w:szCs w:val="28"/>
        </w:rPr>
        <w:t>“智慧水利”重点工程</w:t>
      </w:r>
    </w:p>
    <w:p>
      <w:pPr>
        <w:pStyle w:val="48"/>
        <w:ind w:firstLine="31680"/>
        <w:rPr>
          <w:b/>
          <w:bCs/>
          <w:color w:val="000000"/>
        </w:rPr>
      </w:pPr>
      <w:r>
        <w:rPr>
          <w:rFonts w:hint="eastAsia"/>
          <w:b/>
          <w:bCs/>
          <w:color w:val="000000"/>
        </w:rPr>
        <w:t>（一）</w:t>
      </w:r>
      <w:r>
        <w:rPr>
          <w:b/>
          <w:bCs/>
          <w:color w:val="000000"/>
        </w:rPr>
        <w:t>1</w:t>
      </w:r>
      <w:r>
        <w:rPr>
          <w:rFonts w:hint="eastAsia"/>
          <w:b/>
          <w:bCs/>
          <w:color w:val="000000"/>
        </w:rPr>
        <w:t>朵智慧水利混合云</w:t>
      </w:r>
    </w:p>
    <w:p>
      <w:pPr>
        <w:pStyle w:val="48"/>
        <w:ind w:firstLine="31680"/>
        <w:rPr>
          <w:color w:val="000000"/>
        </w:rPr>
      </w:pPr>
      <w:r>
        <w:rPr>
          <w:rFonts w:hint="eastAsia"/>
          <w:color w:val="000000"/>
        </w:rPr>
        <w:t>充分整合现有各类水利数据资源，形成智慧水利混合云。一是建立数据采集层“监测云”，实现监管内容与监管层级全覆盖；二是建立支撑层“设施云”，实现硬件资源云端化，提供集约、优良的基础支撑环境；三是建立数据层“数据云”，实现数据汇集与决策服务。</w:t>
      </w:r>
    </w:p>
    <w:p>
      <w:pPr>
        <w:pStyle w:val="48"/>
        <w:ind w:firstLine="31680"/>
        <w:rPr>
          <w:b/>
          <w:bCs/>
          <w:color w:val="000000"/>
        </w:rPr>
      </w:pPr>
      <w:r>
        <w:rPr>
          <w:rFonts w:hint="eastAsia"/>
          <w:b/>
          <w:bCs/>
          <w:color w:val="000000"/>
        </w:rPr>
        <w:t>（二）</w:t>
      </w:r>
      <w:r>
        <w:rPr>
          <w:b/>
          <w:bCs/>
          <w:color w:val="000000"/>
        </w:rPr>
        <w:t>1</w:t>
      </w:r>
      <w:r>
        <w:rPr>
          <w:rFonts w:hint="eastAsia"/>
          <w:b/>
          <w:bCs/>
          <w:color w:val="000000"/>
        </w:rPr>
        <w:t>个统一应用门户</w:t>
      </w:r>
    </w:p>
    <w:p>
      <w:pPr>
        <w:pStyle w:val="48"/>
        <w:ind w:firstLine="31680"/>
        <w:rPr>
          <w:color w:val="000000"/>
        </w:rPr>
      </w:pPr>
      <w:r>
        <w:rPr>
          <w:rFonts w:hint="eastAsia"/>
          <w:color w:val="000000"/>
        </w:rPr>
        <w:t>建立泰州市水管理服务统一门户。</w:t>
      </w:r>
    </w:p>
    <w:p>
      <w:pPr>
        <w:pStyle w:val="48"/>
        <w:ind w:firstLine="31680"/>
        <w:rPr>
          <w:color w:val="000000"/>
        </w:rPr>
      </w:pPr>
      <w:r>
        <w:rPr>
          <w:rFonts w:hint="eastAsia"/>
          <w:color w:val="000000"/>
        </w:rPr>
        <w:t>（</w:t>
      </w:r>
      <w:r>
        <w:rPr>
          <w:color w:val="000000"/>
        </w:rPr>
        <w:t>1</w:t>
      </w:r>
      <w:r>
        <w:rPr>
          <w:rFonts w:hint="eastAsia"/>
          <w:color w:val="000000"/>
        </w:rPr>
        <w:t>）强化门户设计，包含电脑端、移动端、微信公众端的门户设计，统一地图服务、统一用户管理。</w:t>
      </w:r>
    </w:p>
    <w:p>
      <w:pPr>
        <w:pStyle w:val="48"/>
        <w:ind w:firstLine="31680"/>
        <w:rPr>
          <w:color w:val="000000"/>
        </w:rPr>
      </w:pPr>
      <w:r>
        <w:rPr>
          <w:rFonts w:hint="eastAsia"/>
          <w:color w:val="000000"/>
        </w:rPr>
        <w:t>（</w:t>
      </w:r>
      <w:r>
        <w:rPr>
          <w:color w:val="000000"/>
        </w:rPr>
        <w:t>2</w:t>
      </w:r>
      <w:r>
        <w:rPr>
          <w:rFonts w:hint="eastAsia"/>
          <w:color w:val="000000"/>
        </w:rPr>
        <w:t>）强化业务协调统一，坚持一次开发、多级部署，建立市县乡三级贯通的基础框架，各级在统建模块的基础上，通过定制和自建应用模块，实现业务的集成统一。</w:t>
      </w:r>
    </w:p>
    <w:p>
      <w:pPr>
        <w:pStyle w:val="48"/>
        <w:ind w:firstLine="31680"/>
        <w:rPr>
          <w:b/>
          <w:bCs/>
          <w:color w:val="000000"/>
        </w:rPr>
      </w:pPr>
      <w:r>
        <w:rPr>
          <w:rFonts w:hint="eastAsia"/>
          <w:b/>
          <w:bCs/>
          <w:color w:val="000000"/>
        </w:rPr>
        <w:t>（三）</w:t>
      </w:r>
      <w:r>
        <w:rPr>
          <w:b/>
          <w:bCs/>
          <w:color w:val="000000"/>
        </w:rPr>
        <w:t>8</w:t>
      </w:r>
      <w:r>
        <w:rPr>
          <w:rFonts w:hint="eastAsia"/>
          <w:b/>
          <w:bCs/>
          <w:color w:val="000000"/>
        </w:rPr>
        <w:t>大水利业务应用</w:t>
      </w:r>
    </w:p>
    <w:p>
      <w:pPr>
        <w:pStyle w:val="48"/>
        <w:ind w:firstLine="31680"/>
        <w:rPr>
          <w:color w:val="000000"/>
        </w:rPr>
      </w:pPr>
      <w:r>
        <w:rPr>
          <w:rFonts w:hint="eastAsia"/>
          <w:color w:val="000000"/>
        </w:rPr>
        <w:t>（</w:t>
      </w:r>
      <w:r>
        <w:rPr>
          <w:color w:val="000000"/>
        </w:rPr>
        <w:t>1</w:t>
      </w:r>
      <w:r>
        <w:rPr>
          <w:rFonts w:hint="eastAsia"/>
          <w:color w:val="000000"/>
        </w:rPr>
        <w:t>）</w:t>
      </w:r>
      <w:r>
        <w:rPr>
          <w:rFonts w:hint="eastAsia" w:hAnsi="楷体" w:cs="楷体"/>
          <w:color w:val="000000"/>
        </w:rPr>
        <w:t>工程视频监控。</w:t>
      </w:r>
      <w:r>
        <w:rPr>
          <w:rFonts w:hint="eastAsia"/>
          <w:color w:val="000000"/>
        </w:rPr>
        <w:t>整合各市（区）城区重点水利工程视频监控系统，形成全市统一、共享的工程视频监控体系。每年新增建设视频监控点不少于</w:t>
      </w:r>
      <w:r>
        <w:rPr>
          <w:color w:val="000000"/>
        </w:rPr>
        <w:t>2000</w:t>
      </w:r>
      <w:r>
        <w:rPr>
          <w:rFonts w:hint="eastAsia"/>
          <w:color w:val="000000"/>
        </w:rPr>
        <w:t>处。</w:t>
      </w:r>
    </w:p>
    <w:p>
      <w:pPr>
        <w:pStyle w:val="48"/>
        <w:ind w:firstLine="31680"/>
        <w:rPr>
          <w:color w:val="000000"/>
        </w:rPr>
      </w:pPr>
      <w:r>
        <w:rPr>
          <w:rFonts w:hint="eastAsia"/>
          <w:color w:val="000000"/>
        </w:rPr>
        <w:t>（</w:t>
      </w:r>
      <w:r>
        <w:rPr>
          <w:color w:val="000000"/>
        </w:rPr>
        <w:t>2</w:t>
      </w:r>
      <w:r>
        <w:rPr>
          <w:rFonts w:hint="eastAsia"/>
          <w:color w:val="000000"/>
        </w:rPr>
        <w:t>）</w:t>
      </w:r>
      <w:r>
        <w:rPr>
          <w:rFonts w:hint="eastAsia" w:hAnsi="楷体" w:cs="楷体"/>
          <w:color w:val="000000"/>
        </w:rPr>
        <w:t>防汛监测预警。</w:t>
      </w:r>
      <w:r>
        <w:rPr>
          <w:rFonts w:hint="eastAsia"/>
          <w:color w:val="000000"/>
        </w:rPr>
        <w:t>完善防汛智慧感知监测站点建设，新建和完善水位监测站点</w:t>
      </w:r>
      <w:r>
        <w:rPr>
          <w:color w:val="000000"/>
        </w:rPr>
        <w:t>20</w:t>
      </w:r>
      <w:r>
        <w:rPr>
          <w:rFonts w:hint="eastAsia"/>
          <w:color w:val="000000"/>
        </w:rPr>
        <w:t>处，城区易涝监控监测站点</w:t>
      </w:r>
      <w:r>
        <w:rPr>
          <w:color w:val="000000"/>
        </w:rPr>
        <w:t>40</w:t>
      </w:r>
      <w:r>
        <w:rPr>
          <w:rFonts w:hint="eastAsia"/>
          <w:color w:val="000000"/>
        </w:rPr>
        <w:t>处。建设水文气象监测业务管理信息系统，完善水文数据库、特征库、预测预警方案库，建设防汛预警展播系统并向乡镇和重点村组覆盖。</w:t>
      </w:r>
    </w:p>
    <w:p>
      <w:pPr>
        <w:pStyle w:val="48"/>
        <w:ind w:firstLine="31680"/>
        <w:rPr>
          <w:color w:val="000000"/>
        </w:rPr>
      </w:pPr>
      <w:r>
        <w:rPr>
          <w:rFonts w:hint="eastAsia"/>
          <w:color w:val="000000"/>
        </w:rPr>
        <w:t>（</w:t>
      </w:r>
      <w:r>
        <w:rPr>
          <w:color w:val="000000"/>
        </w:rPr>
        <w:t>3</w:t>
      </w:r>
      <w:r>
        <w:rPr>
          <w:rFonts w:hint="eastAsia"/>
          <w:color w:val="000000"/>
        </w:rPr>
        <w:t>）</w:t>
      </w:r>
      <w:r>
        <w:rPr>
          <w:rFonts w:hint="eastAsia" w:hAnsi="楷体" w:cs="楷体"/>
          <w:color w:val="000000"/>
        </w:rPr>
        <w:t>河湖水质监测。</w:t>
      </w:r>
      <w:r>
        <w:rPr>
          <w:rFonts w:hint="eastAsia"/>
          <w:color w:val="000000"/>
        </w:rPr>
        <w:t>结合河长制管理要求，对重要水质断面、河湖跨界断面、重点水功能区等建设水质监测站点、站网。</w:t>
      </w:r>
    </w:p>
    <w:p>
      <w:pPr>
        <w:pStyle w:val="48"/>
        <w:ind w:firstLine="31680"/>
        <w:rPr>
          <w:color w:val="000000"/>
        </w:rPr>
      </w:pPr>
      <w:r>
        <w:rPr>
          <w:rFonts w:hint="eastAsia"/>
          <w:color w:val="000000"/>
        </w:rPr>
        <w:t>（</w:t>
      </w:r>
      <w:r>
        <w:rPr>
          <w:color w:val="000000"/>
        </w:rPr>
        <w:t>4</w:t>
      </w:r>
      <w:r>
        <w:rPr>
          <w:rFonts w:hint="eastAsia"/>
          <w:color w:val="000000"/>
        </w:rPr>
        <w:t>）</w:t>
      </w:r>
      <w:r>
        <w:rPr>
          <w:rFonts w:hint="eastAsia" w:hAnsi="楷体" w:cs="楷体"/>
          <w:color w:val="000000"/>
        </w:rPr>
        <w:t>工程精细化管理。</w:t>
      </w:r>
      <w:r>
        <w:rPr>
          <w:rFonts w:hint="eastAsia"/>
          <w:color w:val="000000"/>
        </w:rPr>
        <w:t>建立包括组织管理、安全管理、运行管理、经济管理等子版块在内的全市水利工程精细化管理平台，实现水利工程日常管理工作清单化、管理事项流程化、流程处置闭环化和管理记录电子化。完成</w:t>
      </w:r>
      <w:r>
        <w:rPr>
          <w:color w:val="000000"/>
        </w:rPr>
        <w:t>30</w:t>
      </w:r>
      <w:r>
        <w:rPr>
          <w:rFonts w:hint="eastAsia"/>
          <w:color w:val="000000"/>
        </w:rPr>
        <w:t>座闸站工程信息化提升工程。</w:t>
      </w:r>
    </w:p>
    <w:p>
      <w:pPr>
        <w:pStyle w:val="48"/>
        <w:ind w:firstLine="31680"/>
        <w:rPr>
          <w:color w:val="000000"/>
        </w:rPr>
      </w:pPr>
      <w:bookmarkStart w:id="53" w:name="_Hlk40170988"/>
      <w:r>
        <w:rPr>
          <w:rFonts w:hint="eastAsia"/>
          <w:color w:val="000000"/>
        </w:rPr>
        <w:t>（</w:t>
      </w:r>
      <w:r>
        <w:rPr>
          <w:color w:val="000000"/>
        </w:rPr>
        <w:t>5</w:t>
      </w:r>
      <w:r>
        <w:rPr>
          <w:rFonts w:hint="eastAsia"/>
          <w:color w:val="000000"/>
        </w:rPr>
        <w:t>）</w:t>
      </w:r>
      <w:r>
        <w:rPr>
          <w:rFonts w:hint="eastAsia" w:hAnsi="楷体" w:cs="楷体"/>
          <w:color w:val="000000"/>
        </w:rPr>
        <w:t>工程建设运行管理</w:t>
      </w:r>
      <w:bookmarkEnd w:id="53"/>
      <w:r>
        <w:rPr>
          <w:rFonts w:hint="eastAsia" w:hAnsi="楷体" w:cs="楷体"/>
          <w:color w:val="000000"/>
        </w:rPr>
        <w:t>。建立自项目前期</w:t>
      </w:r>
      <w:r>
        <w:rPr>
          <w:rFonts w:hint="eastAsia"/>
          <w:color w:val="000000"/>
        </w:rPr>
        <w:t>规划到后期评价全过程覆盖的水利工程建设管理综合平台，实现水利工程全生命周期监管。依托</w:t>
      </w:r>
      <w:r>
        <w:rPr>
          <w:color w:val="000000"/>
        </w:rPr>
        <w:t>BIM</w:t>
      </w:r>
      <w:r>
        <w:rPr>
          <w:rFonts w:hint="eastAsia"/>
          <w:color w:val="000000"/>
        </w:rPr>
        <w:t>技术，建立工程建设及运管模型平台，实现工程建设与建后管理可视化、一体化。完成</w:t>
      </w:r>
      <w:r>
        <w:rPr>
          <w:color w:val="000000"/>
        </w:rPr>
        <w:t>20</w:t>
      </w:r>
      <w:r>
        <w:rPr>
          <w:rFonts w:hint="eastAsia"/>
          <w:color w:val="000000"/>
        </w:rPr>
        <w:t>处智慧工地应用系统建设。</w:t>
      </w:r>
    </w:p>
    <w:p>
      <w:pPr>
        <w:pStyle w:val="48"/>
        <w:ind w:firstLine="31680"/>
        <w:rPr>
          <w:color w:val="000000"/>
        </w:rPr>
      </w:pPr>
      <w:bookmarkStart w:id="54" w:name="_Hlk40170995"/>
      <w:r>
        <w:rPr>
          <w:rFonts w:hint="eastAsia"/>
          <w:color w:val="000000"/>
        </w:rPr>
        <w:t>（</w:t>
      </w:r>
      <w:r>
        <w:rPr>
          <w:color w:val="000000"/>
        </w:rPr>
        <w:t>6</w:t>
      </w:r>
      <w:r>
        <w:rPr>
          <w:rFonts w:hint="eastAsia"/>
          <w:color w:val="000000"/>
        </w:rPr>
        <w:t>）</w:t>
      </w:r>
      <w:r>
        <w:rPr>
          <w:rFonts w:hint="eastAsia" w:hAnsi="楷体" w:cs="楷体"/>
          <w:color w:val="000000"/>
        </w:rPr>
        <w:t>水资源监控管理</w:t>
      </w:r>
      <w:bookmarkEnd w:id="54"/>
      <w:r>
        <w:rPr>
          <w:rFonts w:hint="eastAsia" w:hAnsi="楷体" w:cs="楷体"/>
          <w:color w:val="000000"/>
        </w:rPr>
        <w:t>。推进建立包括农业、工业、城镇等领域在内的节水管理综合平台，</w:t>
      </w:r>
      <w:r>
        <w:rPr>
          <w:rFonts w:hint="eastAsia"/>
          <w:color w:val="000000"/>
        </w:rPr>
        <w:t>严格区域用水总量和效率管控，强化水资源统一调度、监管和保护，优化城市供水水源开发利用。</w:t>
      </w:r>
    </w:p>
    <w:p>
      <w:pPr>
        <w:pStyle w:val="48"/>
        <w:ind w:firstLine="31680"/>
        <w:rPr>
          <w:color w:val="000000"/>
        </w:rPr>
      </w:pPr>
      <w:bookmarkStart w:id="55" w:name="_Hlk40171000"/>
      <w:r>
        <w:rPr>
          <w:rFonts w:hint="eastAsia"/>
          <w:color w:val="000000"/>
        </w:rPr>
        <w:t>（</w:t>
      </w:r>
      <w:r>
        <w:rPr>
          <w:color w:val="000000"/>
        </w:rPr>
        <w:t>7</w:t>
      </w:r>
      <w:r>
        <w:rPr>
          <w:rFonts w:hint="eastAsia"/>
          <w:color w:val="000000"/>
        </w:rPr>
        <w:t>）</w:t>
      </w:r>
      <w:r>
        <w:rPr>
          <w:rFonts w:hint="eastAsia" w:hAnsi="楷体" w:cs="楷体"/>
          <w:color w:val="000000"/>
        </w:rPr>
        <w:t>河湖长效保护与动态管控</w:t>
      </w:r>
      <w:bookmarkEnd w:id="55"/>
      <w:r>
        <w:rPr>
          <w:rFonts w:hint="eastAsia" w:hAnsi="楷体" w:cs="楷体"/>
          <w:color w:val="000000"/>
        </w:rPr>
        <w:t>。建立完善</w:t>
      </w:r>
      <w:r>
        <w:rPr>
          <w:rFonts w:hint="eastAsia"/>
          <w:color w:val="000000"/>
        </w:rPr>
        <w:t>“四查”监管应用，加强水域岸线管理与保护支撑；拓展完善智守长江采砂管理系统应用，加强水域、岸线、砂石等资源的管理和保护支撑。</w:t>
      </w:r>
    </w:p>
    <w:p>
      <w:pPr>
        <w:pStyle w:val="48"/>
        <w:ind w:firstLine="31680"/>
        <w:rPr>
          <w:color w:val="000000"/>
        </w:rPr>
      </w:pPr>
      <w:bookmarkStart w:id="56" w:name="_Hlk40171015"/>
      <w:r>
        <w:rPr>
          <w:rFonts w:hint="eastAsia"/>
          <w:color w:val="000000"/>
        </w:rPr>
        <w:t>（</w:t>
      </w:r>
      <w:r>
        <w:rPr>
          <w:color w:val="000000"/>
        </w:rPr>
        <w:t>8</w:t>
      </w:r>
      <w:r>
        <w:rPr>
          <w:rFonts w:hint="eastAsia"/>
          <w:color w:val="000000"/>
        </w:rPr>
        <w:t>）</w:t>
      </w:r>
      <w:r>
        <w:rPr>
          <w:rFonts w:hint="eastAsia" w:hAnsi="楷体" w:cs="楷体"/>
          <w:color w:val="000000"/>
        </w:rPr>
        <w:t>水行政许可服务与监管</w:t>
      </w:r>
      <w:bookmarkEnd w:id="56"/>
      <w:r>
        <w:rPr>
          <w:rFonts w:hint="eastAsia" w:hAnsi="楷体" w:cs="楷体"/>
          <w:color w:val="000000"/>
        </w:rPr>
        <w:t>。</w:t>
      </w:r>
      <w:r>
        <w:rPr>
          <w:rFonts w:hint="eastAsia"/>
          <w:color w:val="000000"/>
        </w:rPr>
        <w:t>建设“互联网</w:t>
      </w:r>
      <w:r>
        <w:rPr>
          <w:color w:val="000000"/>
        </w:rPr>
        <w:t>+</w:t>
      </w:r>
      <w:r>
        <w:rPr>
          <w:rFonts w:hint="eastAsia"/>
          <w:color w:val="000000"/>
        </w:rPr>
        <w:t>”水利公共服务平台，支撑水行政许可审批前、中、后期全过程监管；根据江河湖泊、水资源、水利工程、水土保持等方面监管特点，完善各业务监督对象的指标和流程设计，形成综合监管指标和方法体系。</w:t>
      </w:r>
    </w:p>
    <w:p>
      <w:pPr>
        <w:pStyle w:val="3"/>
        <w:ind w:firstLine="31680"/>
        <w:rPr>
          <w:color w:val="000000"/>
        </w:rPr>
      </w:pPr>
      <w:bookmarkStart w:id="57" w:name="_Toc37420491"/>
      <w:bookmarkStart w:id="58" w:name="_Toc41928836"/>
      <w:r>
        <w:rPr>
          <w:rFonts w:hint="eastAsia"/>
          <w:color w:val="000000"/>
        </w:rPr>
        <w:t>（六）建设制度完善、管控有力的</w:t>
      </w:r>
      <w:bookmarkEnd w:id="57"/>
      <w:r>
        <w:rPr>
          <w:rFonts w:hint="eastAsia"/>
          <w:color w:val="000000"/>
        </w:rPr>
        <w:t>水管理体系</w:t>
      </w:r>
      <w:bookmarkEnd w:id="58"/>
    </w:p>
    <w:p>
      <w:pPr>
        <w:ind w:firstLine="31680"/>
        <w:rPr>
          <w:color w:val="000000"/>
        </w:rPr>
      </w:pPr>
      <w:r>
        <w:rPr>
          <w:rFonts w:hint="eastAsia"/>
          <w:color w:val="000000"/>
        </w:rPr>
        <w:t>深化细化河长制管理，推进河道“两违”“三乱”专项整治向乡、村级河道延伸，强化河湖空间管控，维护河湖生态空间和生命健康；加强水利工程精细化管理，推进工程维修养护和安全运行管理，进一步规范工程建设规章程序，促进工程有序管理、发挥效益；</w:t>
      </w:r>
      <w:r>
        <w:rPr>
          <w:rFonts w:hint="eastAsia"/>
          <w:color w:val="000000"/>
          <w:lang w:val="zh-CN"/>
        </w:rPr>
        <w:t>严格执行生产建设项目水土保持</w:t>
      </w:r>
      <w:r>
        <w:rPr>
          <w:rFonts w:hint="eastAsia"/>
          <w:color w:val="000000"/>
        </w:rPr>
        <w:t>“</w:t>
      </w:r>
      <w:r>
        <w:rPr>
          <w:rFonts w:hint="eastAsia"/>
          <w:color w:val="000000"/>
          <w:lang w:val="zh-CN"/>
        </w:rPr>
        <w:t>三同时</w:t>
      </w:r>
      <w:r>
        <w:rPr>
          <w:rFonts w:hint="eastAsia"/>
          <w:color w:val="000000"/>
        </w:rPr>
        <w:t>”</w:t>
      </w:r>
      <w:r>
        <w:rPr>
          <w:rFonts w:hint="eastAsia"/>
          <w:color w:val="000000"/>
          <w:lang w:val="zh-CN"/>
        </w:rPr>
        <w:t>制度，健全完善水土保持监管体系，提升水土保持综合监管能力。</w:t>
      </w:r>
    </w:p>
    <w:p>
      <w:pPr>
        <w:pBdr>
          <w:top w:val="single" w:color="auto" w:sz="4" w:space="1"/>
          <w:left w:val="single" w:color="auto" w:sz="4" w:space="4"/>
          <w:bottom w:val="single" w:color="auto" w:sz="4" w:space="1"/>
          <w:right w:val="single" w:color="auto" w:sz="4" w:space="4"/>
        </w:pBdr>
        <w:ind w:firstLine="0" w:firstLineChars="0"/>
        <w:jc w:val="center"/>
        <w:rPr>
          <w:rStyle w:val="47"/>
          <w:rFonts w:ascii="楷体" w:hAnsi="楷体"/>
          <w:bCs w:val="0"/>
          <w:color w:val="000000"/>
          <w:sz w:val="28"/>
          <w:szCs w:val="28"/>
        </w:rPr>
      </w:pPr>
      <w:r>
        <w:rPr>
          <w:rStyle w:val="47"/>
          <w:rFonts w:hint="eastAsia" w:ascii="楷体" w:hAnsi="楷体"/>
          <w:bCs w:val="0"/>
          <w:color w:val="000000"/>
          <w:sz w:val="28"/>
          <w:szCs w:val="28"/>
        </w:rPr>
        <w:t>专栏六</w:t>
      </w:r>
      <w:r>
        <w:rPr>
          <w:rStyle w:val="47"/>
          <w:rFonts w:ascii="楷体" w:hAnsi="楷体"/>
          <w:bCs w:val="0"/>
          <w:color w:val="000000"/>
          <w:sz w:val="28"/>
          <w:szCs w:val="28"/>
        </w:rPr>
        <w:t xml:space="preserve"> </w:t>
      </w:r>
      <w:r>
        <w:rPr>
          <w:rStyle w:val="47"/>
          <w:rFonts w:hint="eastAsia" w:ascii="楷体" w:hAnsi="楷体"/>
          <w:color w:val="000000"/>
          <w:sz w:val="28"/>
          <w:szCs w:val="28"/>
        </w:rPr>
        <w:t>水管理建设任务</w:t>
      </w:r>
    </w:p>
    <w:p>
      <w:pPr>
        <w:pStyle w:val="48"/>
        <w:ind w:firstLine="31680"/>
        <w:rPr>
          <w:b/>
          <w:bCs/>
          <w:color w:val="000000"/>
        </w:rPr>
      </w:pPr>
      <w:bookmarkStart w:id="59" w:name="_Toc21704993"/>
      <w:r>
        <w:rPr>
          <w:rFonts w:hint="eastAsia"/>
          <w:b/>
          <w:bCs/>
          <w:color w:val="000000"/>
        </w:rPr>
        <w:t>（一）河湖管理</w:t>
      </w:r>
      <w:bookmarkEnd w:id="59"/>
    </w:p>
    <w:p>
      <w:pPr>
        <w:pStyle w:val="48"/>
        <w:ind w:firstLine="31680"/>
        <w:rPr>
          <w:color w:val="000000"/>
        </w:rPr>
      </w:pPr>
      <w:r>
        <w:rPr>
          <w:rFonts w:hint="eastAsia"/>
          <w:color w:val="000000"/>
        </w:rPr>
        <w:t>（</w:t>
      </w:r>
      <w:r>
        <w:rPr>
          <w:color w:val="000000"/>
        </w:rPr>
        <w:t>1</w:t>
      </w:r>
      <w:r>
        <w:rPr>
          <w:rFonts w:hint="eastAsia"/>
          <w:color w:val="000000"/>
        </w:rPr>
        <w:t>）深化河长制管理。进一步发挥河湖长制制度优势和河湖长核心作用，推进河湖长制向“全面见效”转变。继续开展“两违”“三乱”专项整治并向乡级、村级河道纵向延伸，继续巩固长江大保护专项行动成果，从严打击长江非法采砂行为，基本杜绝重大水事违法行为，实现河湖岸线井然有序、水面形象不断改观。</w:t>
      </w:r>
    </w:p>
    <w:p>
      <w:pPr>
        <w:pStyle w:val="48"/>
        <w:ind w:firstLine="31680"/>
        <w:rPr>
          <w:color w:val="000000"/>
        </w:rPr>
      </w:pPr>
      <w:r>
        <w:rPr>
          <w:rFonts w:hint="eastAsia"/>
          <w:color w:val="000000"/>
        </w:rPr>
        <w:t>（</w:t>
      </w:r>
      <w:r>
        <w:rPr>
          <w:color w:val="000000"/>
        </w:rPr>
        <w:t>2</w:t>
      </w:r>
      <w:r>
        <w:rPr>
          <w:rFonts w:hint="eastAsia"/>
          <w:color w:val="000000"/>
        </w:rPr>
        <w:t>）强化河湖空间管控。按照国家、省、市部署要求，完成全市重点河湖保护规划和重要水利基础设施空间规划编制工作，推进新一轮河湖与水利工程管理范围划定工作，强化河湖空间保护顶层设计；建立健全水域面积监测和考核制度，严格涉河建设项目审批管理，严格实施兴建等效替代水域工程，确保基本水面率稳中有升；不断优化河湖水域岸线功能布局和资源利用方式，逐步提高河湖自然生态性，恢复和保障河湖公益性功能。</w:t>
      </w:r>
    </w:p>
    <w:p>
      <w:pPr>
        <w:pStyle w:val="48"/>
        <w:ind w:firstLine="31680"/>
        <w:rPr>
          <w:b/>
          <w:bCs/>
          <w:color w:val="000000"/>
        </w:rPr>
      </w:pPr>
      <w:bookmarkStart w:id="60" w:name="_Toc21704995"/>
      <w:r>
        <w:rPr>
          <w:rFonts w:hint="eastAsia"/>
          <w:b/>
          <w:bCs/>
          <w:color w:val="000000"/>
        </w:rPr>
        <w:t>（二）水利工程管理</w:t>
      </w:r>
    </w:p>
    <w:bookmarkEnd w:id="60"/>
    <w:p>
      <w:pPr>
        <w:pStyle w:val="48"/>
        <w:ind w:firstLine="31680"/>
        <w:rPr>
          <w:color w:val="000000"/>
        </w:rPr>
      </w:pPr>
      <w:r>
        <w:rPr>
          <w:rFonts w:hint="eastAsia"/>
          <w:color w:val="000000"/>
        </w:rPr>
        <w:t>（</w:t>
      </w:r>
      <w:r>
        <w:rPr>
          <w:color w:val="000000"/>
        </w:rPr>
        <w:t>1</w:t>
      </w:r>
      <w:r>
        <w:rPr>
          <w:rFonts w:hint="eastAsia"/>
          <w:color w:val="000000"/>
        </w:rPr>
        <w:t>）推进水利工程精细化管理。全面深入推行水利工程精细化管理，落实精细化管理各项措施，科学评价精细化管理水平，促进水利工程管理在规范化基础上提档升级。</w:t>
      </w:r>
    </w:p>
    <w:p>
      <w:pPr>
        <w:pStyle w:val="48"/>
        <w:ind w:firstLine="31680"/>
        <w:rPr>
          <w:color w:val="000000"/>
        </w:rPr>
      </w:pPr>
      <w:r>
        <w:rPr>
          <w:rFonts w:hint="eastAsia"/>
          <w:color w:val="000000"/>
        </w:rPr>
        <w:t>（</w:t>
      </w:r>
      <w:r>
        <w:rPr>
          <w:color w:val="000000"/>
        </w:rPr>
        <w:t>2</w:t>
      </w:r>
      <w:r>
        <w:rPr>
          <w:rFonts w:hint="eastAsia"/>
          <w:color w:val="000000"/>
        </w:rPr>
        <w:t>）规范水利工程运行管理。一是加强堤防险工险段管理，开展堤防险工险段排查，建立堤防险工险段名录，加强日常巡查检查和维修养护；二是强化水闸工程运行管理，落实水闸注册登记和安全鉴定管理制度，推动水闸注册登记和安全鉴定工作常态化，逐级建立病险工程名录，加强运行安全监管；三是加大水闸工程管理力度，加强水闸维修养护、调度运用、巡查检查和安全管理，科学调度水源，保障河道生产、生活、环境、生态水源补给。四是继续推进管养分离，推广政府购买服务方式，由专业化队伍承担工程维修养护，培育和规范维修养护市场，推行水利工程物业化管理。</w:t>
      </w:r>
    </w:p>
    <w:p>
      <w:pPr>
        <w:pStyle w:val="48"/>
        <w:ind w:firstLine="31680"/>
        <w:rPr>
          <w:color w:val="000000"/>
        </w:rPr>
      </w:pPr>
      <w:r>
        <w:rPr>
          <w:rFonts w:hint="eastAsia"/>
          <w:color w:val="000000"/>
        </w:rPr>
        <w:t>（</w:t>
      </w:r>
      <w:r>
        <w:rPr>
          <w:color w:val="000000"/>
        </w:rPr>
        <w:t>3</w:t>
      </w:r>
      <w:r>
        <w:rPr>
          <w:rFonts w:hint="eastAsia"/>
          <w:color w:val="000000"/>
        </w:rPr>
        <w:t>）强化水利建设管理。严格执行水利工程基本建设规章程序，严格落实基本建设“五项制度”；加强工程招投标管理，继续推进公共资源交易平台建设和电子招标工作；加强工程验收管理，落实工程质量终身责任制度；加强建设市场管理，健全信用信息共享、跨部门联合奖惩工作机制，进一步规范水利建设市场秩序。</w:t>
      </w:r>
    </w:p>
    <w:p>
      <w:pPr>
        <w:pStyle w:val="48"/>
        <w:ind w:firstLine="31680"/>
        <w:rPr>
          <w:b/>
          <w:bCs/>
          <w:color w:val="000000"/>
        </w:rPr>
      </w:pPr>
      <w:r>
        <w:rPr>
          <w:rFonts w:hint="eastAsia"/>
          <w:b/>
          <w:bCs/>
          <w:color w:val="000000"/>
        </w:rPr>
        <w:t>（三）水土保持管理</w:t>
      </w:r>
    </w:p>
    <w:p>
      <w:pPr>
        <w:pStyle w:val="48"/>
        <w:ind w:firstLine="31680"/>
        <w:rPr>
          <w:color w:val="000000"/>
          <w:lang w:val="zh-CN"/>
        </w:rPr>
      </w:pPr>
      <w:r>
        <w:rPr>
          <w:rFonts w:hint="eastAsia"/>
          <w:color w:val="000000"/>
          <w:lang w:val="zh-CN"/>
        </w:rPr>
        <w:t>（</w:t>
      </w:r>
      <w:r>
        <w:rPr>
          <w:color w:val="000000"/>
          <w:lang w:val="zh-CN"/>
        </w:rPr>
        <w:t>1</w:t>
      </w:r>
      <w:r>
        <w:rPr>
          <w:rFonts w:hint="eastAsia"/>
          <w:color w:val="000000"/>
          <w:lang w:val="zh-CN"/>
        </w:rPr>
        <w:t>）水土保持监测。开展水土流失动态监测、水土保持生态建设项目和生产建设项目集中区监测，重点监控水土流失严重、生态脆弱地区、水土流失重点预防区和易发区的生产建设活动，定期公告水土流失及防治情况。</w:t>
      </w:r>
    </w:p>
    <w:p>
      <w:pPr>
        <w:pStyle w:val="48"/>
        <w:ind w:firstLine="31680"/>
        <w:rPr>
          <w:color w:val="000000"/>
        </w:rPr>
      </w:pPr>
      <w:r>
        <w:rPr>
          <w:rFonts w:hint="eastAsia"/>
          <w:color w:val="000000"/>
          <w:lang w:val="zh-CN"/>
        </w:rPr>
        <w:t>（</w:t>
      </w:r>
      <w:r>
        <w:rPr>
          <w:color w:val="000000"/>
          <w:lang w:val="zh-CN"/>
        </w:rPr>
        <w:t>2</w:t>
      </w:r>
      <w:r>
        <w:rPr>
          <w:rFonts w:hint="eastAsia"/>
          <w:color w:val="000000"/>
          <w:lang w:val="zh-CN"/>
        </w:rPr>
        <w:t>）水土保持监管。严格生产建设项目水土保持方案编报、审批与实施，</w:t>
      </w:r>
      <w:r>
        <w:rPr>
          <w:rFonts w:hint="eastAsia"/>
          <w:color w:val="000000"/>
        </w:rPr>
        <w:t>加强水土保持方案实施情况的跟踪检查，加强对水土保持设施自主验收的监管。</w:t>
      </w:r>
      <w:r>
        <w:rPr>
          <w:color w:val="000000"/>
        </w:rPr>
        <w:t xml:space="preserve"> </w:t>
      </w:r>
    </w:p>
    <w:p>
      <w:pPr>
        <w:pStyle w:val="3"/>
        <w:ind w:firstLine="31680"/>
        <w:rPr>
          <w:color w:val="000000"/>
        </w:rPr>
      </w:pPr>
      <w:bookmarkStart w:id="61" w:name="_Toc37420493"/>
      <w:bookmarkStart w:id="62" w:name="_Toc41928837"/>
      <w:r>
        <w:rPr>
          <w:rFonts w:hint="eastAsia"/>
          <w:color w:val="000000"/>
        </w:rPr>
        <w:t>（七）建立改革有力、推进有效的发展保障体系</w:t>
      </w:r>
      <w:bookmarkEnd w:id="61"/>
      <w:bookmarkEnd w:id="62"/>
    </w:p>
    <w:p>
      <w:pPr>
        <w:ind w:firstLine="31680"/>
        <w:rPr>
          <w:color w:val="000000"/>
        </w:rPr>
      </w:pPr>
      <w:r>
        <w:rPr>
          <w:rFonts w:hint="eastAsia"/>
          <w:color w:val="000000"/>
        </w:rPr>
        <w:t>对照长江大保护、大运河文化带建设、淮河生态经济带等战略部署和水利行业强监管新要求，推动修订完善水法律法规条例，健全涉水法律法规体系。按照省水利规划体系名录清单管理要求，进一步完善以发展规划为统领、空间规划为基础、专业专项规划为支撑的水利规划体系。进一步深化水利“放管服”改革，优化、简化水行政许可审批流程，加强审批事项事中事后监管，加大信息公开力度。按照国家、省、市相关部署，积极推进水资源税改革，建立健全水权交易制度，探索开展水权交易。</w:t>
      </w:r>
    </w:p>
    <w:p>
      <w:pPr>
        <w:pBdr>
          <w:top w:val="single" w:color="auto" w:sz="4" w:space="1"/>
          <w:left w:val="single" w:color="auto" w:sz="4" w:space="4"/>
          <w:bottom w:val="single" w:color="auto" w:sz="4" w:space="1"/>
          <w:right w:val="single" w:color="auto" w:sz="4" w:space="4"/>
        </w:pBdr>
        <w:ind w:firstLine="0" w:firstLineChars="0"/>
        <w:jc w:val="center"/>
        <w:rPr>
          <w:rStyle w:val="47"/>
          <w:rFonts w:ascii="楷体" w:hAnsi="楷体"/>
          <w:bCs w:val="0"/>
          <w:color w:val="000000"/>
          <w:sz w:val="28"/>
          <w:szCs w:val="28"/>
        </w:rPr>
      </w:pPr>
      <w:r>
        <w:rPr>
          <w:rStyle w:val="47"/>
          <w:rFonts w:hint="eastAsia" w:ascii="楷体" w:hAnsi="楷体"/>
          <w:bCs w:val="0"/>
          <w:color w:val="000000"/>
          <w:sz w:val="28"/>
          <w:szCs w:val="28"/>
        </w:rPr>
        <w:t>专栏七</w:t>
      </w:r>
      <w:r>
        <w:rPr>
          <w:rStyle w:val="47"/>
          <w:rFonts w:ascii="楷体" w:hAnsi="楷体"/>
          <w:bCs w:val="0"/>
          <w:color w:val="000000"/>
          <w:sz w:val="28"/>
          <w:szCs w:val="28"/>
        </w:rPr>
        <w:t xml:space="preserve"> </w:t>
      </w:r>
      <w:r>
        <w:rPr>
          <w:rStyle w:val="47"/>
          <w:rFonts w:hint="eastAsia" w:ascii="楷体" w:hAnsi="楷体"/>
          <w:bCs w:val="0"/>
          <w:color w:val="000000"/>
          <w:sz w:val="28"/>
          <w:szCs w:val="28"/>
        </w:rPr>
        <w:t>发展保障建设任务</w:t>
      </w:r>
    </w:p>
    <w:p>
      <w:pPr>
        <w:pStyle w:val="48"/>
        <w:ind w:firstLine="31680"/>
        <w:rPr>
          <w:color w:val="000000"/>
        </w:rPr>
      </w:pPr>
      <w:r>
        <w:rPr>
          <w:color w:val="000000"/>
        </w:rPr>
        <w:t>——</w:t>
      </w:r>
      <w:r>
        <w:rPr>
          <w:rFonts w:hint="eastAsia"/>
          <w:color w:val="000000"/>
        </w:rPr>
        <w:t>完善水政策法规。健全完善节水评价、生态流量管理、水生态治理、智慧水利、河湖管理与保护等法规制度，调整完善水旱灾害防御、农田水利管理等法规制度，及时制定出台相关配套制度，形成系统完备、务实管用、科学有效的涉水法规体系和规章制度体系。坚持科学立法、民主立法，建立健全公开征求意见制度、听证制度、专家咨询制度，提高水利立法质量。</w:t>
      </w:r>
    </w:p>
    <w:p>
      <w:pPr>
        <w:pStyle w:val="48"/>
        <w:ind w:firstLine="31680"/>
        <w:rPr>
          <w:bCs/>
          <w:color w:val="000000"/>
        </w:rPr>
      </w:pPr>
      <w:r>
        <w:rPr>
          <w:color w:val="000000"/>
        </w:rPr>
        <w:t>——</w:t>
      </w:r>
      <w:r>
        <w:rPr>
          <w:rFonts w:hint="eastAsia"/>
          <w:color w:val="000000"/>
        </w:rPr>
        <w:t>健全水利规划体系。按照省级水利规划体系名录要求，加快补齐水利基础设施空间布局规划，强化资源管理保护类规划，启动研究水文站网、水利信息化、水文化等专项规划，</w:t>
      </w:r>
      <w:r>
        <w:rPr>
          <w:rFonts w:hint="eastAsia"/>
          <w:bCs/>
          <w:color w:val="000000"/>
        </w:rPr>
        <w:t>进一步完善规划体系，为水利发展改革做好顶层设计支撑。</w:t>
      </w:r>
    </w:p>
    <w:p>
      <w:pPr>
        <w:pStyle w:val="48"/>
        <w:ind w:firstLine="31680"/>
        <w:rPr>
          <w:color w:val="000000"/>
        </w:rPr>
      </w:pPr>
      <w:r>
        <w:rPr>
          <w:color w:val="000000"/>
        </w:rPr>
        <w:t>——</w:t>
      </w:r>
      <w:r>
        <w:rPr>
          <w:rFonts w:hint="eastAsia"/>
          <w:color w:val="000000"/>
        </w:rPr>
        <w:t>深化“放管服”改革。继续转变政府职能，创新行政审批服务方式，严格依法设定和实施审批事项，依法优化和简化审批流程；强化水行政审批事项事中事后监管，推行“互联网</w:t>
      </w:r>
      <w:r>
        <w:rPr>
          <w:color w:val="000000"/>
        </w:rPr>
        <w:t>+</w:t>
      </w:r>
      <w:r>
        <w:rPr>
          <w:rFonts w:hint="eastAsia"/>
          <w:color w:val="000000"/>
        </w:rPr>
        <w:t>监管”和“双随机”抽查；完善“放管服”水利政务信息公开制度，积极推进决策、执行、管理、服务、结果公开和重点领域信息公开。</w:t>
      </w:r>
    </w:p>
    <w:p>
      <w:pPr>
        <w:pStyle w:val="48"/>
        <w:ind w:firstLine="31680"/>
        <w:rPr>
          <w:color w:val="000000"/>
        </w:rPr>
      </w:pPr>
      <w:r>
        <w:rPr>
          <w:color w:val="000000"/>
        </w:rPr>
        <w:t>——</w:t>
      </w:r>
      <w:r>
        <w:rPr>
          <w:rFonts w:hint="eastAsia"/>
          <w:color w:val="000000"/>
        </w:rPr>
        <w:t>推进水资源税和水权机制改革。推进水资源税费改革，完善差别化水资源费征收体系，促进水资源合理配置和高效利用；积极培育水市场，健全水权交易规则，试点水权交易并逐步建立水权交易平台，探索开展水权确权。</w:t>
      </w:r>
    </w:p>
    <w:p>
      <w:pPr>
        <w:pStyle w:val="2"/>
        <w:ind w:firstLine="31680"/>
        <w:rPr>
          <w:color w:val="000000"/>
        </w:rPr>
      </w:pPr>
      <w:bookmarkStart w:id="63" w:name="_Toc41928838"/>
      <w:r>
        <w:rPr>
          <w:rFonts w:hint="eastAsia"/>
          <w:color w:val="000000"/>
        </w:rPr>
        <w:t>四、投资规模和用地需求</w:t>
      </w:r>
      <w:bookmarkEnd w:id="63"/>
    </w:p>
    <w:p>
      <w:pPr>
        <w:ind w:firstLine="31680"/>
        <w:rPr>
          <w:color w:val="000000"/>
        </w:rPr>
      </w:pPr>
      <w:r>
        <w:rPr>
          <w:rFonts w:hint="eastAsia"/>
          <w:color w:val="000000"/>
        </w:rPr>
        <w:t>（一）投资规模</w:t>
      </w:r>
    </w:p>
    <w:p>
      <w:pPr>
        <w:ind w:firstLine="31680"/>
        <w:rPr>
          <w:color w:val="000000"/>
        </w:rPr>
      </w:pPr>
      <w:r>
        <w:rPr>
          <w:rFonts w:hint="eastAsia"/>
          <w:color w:val="000000"/>
        </w:rPr>
        <w:t>根据泰州市“十四五”水利发展目标和项目安排，初步匡算全市水利建设投资</w:t>
      </w:r>
      <w:r>
        <w:rPr>
          <w:color w:val="000000"/>
        </w:rPr>
        <w:t>173</w:t>
      </w:r>
      <w:r>
        <w:rPr>
          <w:rFonts w:hint="eastAsia"/>
          <w:color w:val="000000"/>
        </w:rPr>
        <w:t>亿元。其中安全水利</w:t>
      </w:r>
      <w:r>
        <w:rPr>
          <w:color w:val="000000"/>
        </w:rPr>
        <w:t>107.8</w:t>
      </w:r>
      <w:r>
        <w:rPr>
          <w:rFonts w:hint="eastAsia"/>
          <w:color w:val="000000"/>
        </w:rPr>
        <w:t>亿元、资源水利</w:t>
      </w:r>
      <w:r>
        <w:rPr>
          <w:color w:val="000000"/>
        </w:rPr>
        <w:t>8.5</w:t>
      </w:r>
      <w:r>
        <w:rPr>
          <w:rFonts w:hint="eastAsia"/>
          <w:color w:val="000000"/>
        </w:rPr>
        <w:t>亿元、生态水利</w:t>
      </w:r>
      <w:r>
        <w:rPr>
          <w:color w:val="000000"/>
        </w:rPr>
        <w:t>39.1</w:t>
      </w:r>
      <w:r>
        <w:rPr>
          <w:rFonts w:hint="eastAsia"/>
          <w:color w:val="000000"/>
        </w:rPr>
        <w:t>亿元、农村水利</w:t>
      </w:r>
      <w:r>
        <w:rPr>
          <w:color w:val="000000"/>
        </w:rPr>
        <w:t>10.8</w:t>
      </w:r>
      <w:r>
        <w:rPr>
          <w:rFonts w:hint="eastAsia"/>
          <w:color w:val="000000"/>
        </w:rPr>
        <w:t>亿元、智慧水利</w:t>
      </w:r>
      <w:r>
        <w:rPr>
          <w:color w:val="000000"/>
        </w:rPr>
        <w:t>1.7</w:t>
      </w:r>
      <w:r>
        <w:rPr>
          <w:rFonts w:hint="eastAsia"/>
          <w:color w:val="000000"/>
        </w:rPr>
        <w:t>亿元、法治水利</w:t>
      </w:r>
      <w:r>
        <w:rPr>
          <w:color w:val="000000"/>
        </w:rPr>
        <w:t>5.1</w:t>
      </w:r>
      <w:r>
        <w:rPr>
          <w:rFonts w:hint="eastAsia"/>
          <w:color w:val="000000"/>
        </w:rPr>
        <w:t>亿元。</w:t>
      </w:r>
    </w:p>
    <w:p>
      <w:pPr>
        <w:ind w:firstLine="31680"/>
        <w:rPr>
          <w:color w:val="000000"/>
        </w:rPr>
      </w:pPr>
      <w:r>
        <w:rPr>
          <w:rFonts w:hint="eastAsia"/>
          <w:color w:val="000000"/>
        </w:rPr>
        <w:t>（二）资金来源</w:t>
      </w:r>
    </w:p>
    <w:p>
      <w:pPr>
        <w:ind w:firstLine="31680"/>
        <w:rPr>
          <w:color w:val="000000"/>
        </w:rPr>
      </w:pPr>
      <w:r>
        <w:rPr>
          <w:color w:val="000000"/>
        </w:rPr>
        <w:t xml:space="preserve">1. </w:t>
      </w:r>
      <w:r>
        <w:rPr>
          <w:rFonts w:hint="eastAsia"/>
          <w:color w:val="000000"/>
        </w:rPr>
        <w:t>继续将水利作为公共财政投入的重点领域，争取各级政府加大公共财政预算水利投入。</w:t>
      </w:r>
    </w:p>
    <w:p>
      <w:pPr>
        <w:ind w:firstLine="31680"/>
        <w:rPr>
          <w:color w:val="000000"/>
        </w:rPr>
      </w:pPr>
      <w:r>
        <w:rPr>
          <w:color w:val="000000"/>
        </w:rPr>
        <w:t xml:space="preserve">2. </w:t>
      </w:r>
      <w:r>
        <w:rPr>
          <w:rFonts w:hint="eastAsia"/>
          <w:color w:val="000000"/>
        </w:rPr>
        <w:t>积极争取国家、省级投资对全市流域、区域重点工程的投入。</w:t>
      </w:r>
    </w:p>
    <w:p>
      <w:pPr>
        <w:ind w:firstLine="31680"/>
        <w:rPr>
          <w:color w:val="000000"/>
        </w:rPr>
      </w:pPr>
      <w:r>
        <w:rPr>
          <w:color w:val="000000"/>
        </w:rPr>
        <w:t xml:space="preserve">3. </w:t>
      </w:r>
      <w:r>
        <w:rPr>
          <w:rFonts w:hint="eastAsia"/>
          <w:color w:val="000000"/>
        </w:rPr>
        <w:t>切实落实各项水利投入政策，市、区财政按当年可用财力的</w:t>
      </w:r>
      <w:r>
        <w:rPr>
          <w:color w:val="000000"/>
        </w:rPr>
        <w:t>2</w:t>
      </w:r>
      <w:r>
        <w:rPr>
          <w:rFonts w:hint="eastAsia"/>
          <w:color w:val="000000"/>
        </w:rPr>
        <w:t>～</w:t>
      </w:r>
      <w:r>
        <w:rPr>
          <w:color w:val="000000"/>
        </w:rPr>
        <w:t>4%</w:t>
      </w:r>
      <w:r>
        <w:rPr>
          <w:rFonts w:hint="eastAsia"/>
          <w:color w:val="000000"/>
        </w:rPr>
        <w:t>足额安排水利建设资金并逐年稳定增长。从土地出让收益中提取</w:t>
      </w:r>
      <w:r>
        <w:rPr>
          <w:color w:val="000000"/>
        </w:rPr>
        <w:t>10%</w:t>
      </w:r>
      <w:r>
        <w:rPr>
          <w:rFonts w:hint="eastAsia"/>
          <w:color w:val="000000"/>
        </w:rPr>
        <w:t>用于农田水利建设，从土地出让金中提取农业开发资金的</w:t>
      </w:r>
      <w:r>
        <w:rPr>
          <w:color w:val="000000"/>
        </w:rPr>
        <w:t>30%</w:t>
      </w:r>
      <w:r>
        <w:rPr>
          <w:rFonts w:hint="eastAsia"/>
          <w:color w:val="000000"/>
        </w:rPr>
        <w:t>用于农村水利建设，从城市维护建设税中划出不少于</w:t>
      </w:r>
      <w:r>
        <w:rPr>
          <w:color w:val="000000"/>
        </w:rPr>
        <w:t>15%</w:t>
      </w:r>
      <w:r>
        <w:rPr>
          <w:rFonts w:hint="eastAsia"/>
          <w:color w:val="000000"/>
        </w:rPr>
        <w:t>的资金用于城市防洪排涝工程建设。</w:t>
      </w:r>
    </w:p>
    <w:p>
      <w:pPr>
        <w:ind w:firstLine="31680"/>
        <w:rPr>
          <w:color w:val="000000"/>
        </w:rPr>
      </w:pPr>
      <w:r>
        <w:rPr>
          <w:color w:val="000000"/>
        </w:rPr>
        <w:t xml:space="preserve">4. </w:t>
      </w:r>
      <w:r>
        <w:rPr>
          <w:rFonts w:hint="eastAsia"/>
          <w:color w:val="000000"/>
        </w:rPr>
        <w:t>收齐用足水资源费、水利工程水费、水土保持补偿费、河道堤防工程占用补偿费。</w:t>
      </w:r>
    </w:p>
    <w:p>
      <w:pPr>
        <w:ind w:firstLine="31680"/>
        <w:rPr>
          <w:color w:val="000000"/>
        </w:rPr>
      </w:pPr>
      <w:r>
        <w:rPr>
          <w:color w:val="000000"/>
        </w:rPr>
        <w:t xml:space="preserve">5. </w:t>
      </w:r>
      <w:r>
        <w:rPr>
          <w:rFonts w:hint="eastAsia"/>
          <w:color w:val="000000"/>
        </w:rPr>
        <w:t>规范推进社会资本以</w:t>
      </w:r>
      <w:r>
        <w:rPr>
          <w:color w:val="000000"/>
        </w:rPr>
        <w:t>PPP</w:t>
      </w:r>
      <w:r>
        <w:rPr>
          <w:rFonts w:hint="eastAsia"/>
          <w:color w:val="000000"/>
        </w:rPr>
        <w:t>等模式投资水利，吸引社会资本更广泛参与水利建设。</w:t>
      </w:r>
    </w:p>
    <w:p>
      <w:pPr>
        <w:ind w:firstLine="31680"/>
        <w:rPr>
          <w:color w:val="000000"/>
        </w:rPr>
      </w:pPr>
      <w:r>
        <w:rPr>
          <w:rFonts w:hint="eastAsia"/>
          <w:color w:val="000000"/>
        </w:rPr>
        <w:t>（三）用地需求</w:t>
      </w:r>
    </w:p>
    <w:p>
      <w:pPr>
        <w:ind w:firstLine="31680"/>
        <w:rPr>
          <w:color w:val="000000"/>
        </w:rPr>
      </w:pPr>
      <w:r>
        <w:rPr>
          <w:rFonts w:hint="eastAsia"/>
          <w:color w:val="000000"/>
        </w:rPr>
        <w:t>根据泰州市“十四五”水利建设项目，初步匡算工程建设新增占地约</w:t>
      </w:r>
      <w:r>
        <w:rPr>
          <w:color w:val="000000"/>
        </w:rPr>
        <w:t>23038</w:t>
      </w:r>
      <w:r>
        <w:rPr>
          <w:rFonts w:hint="eastAsia"/>
          <w:color w:val="000000"/>
        </w:rPr>
        <w:t>亩（不含退圩还湖新增占地</w:t>
      </w:r>
      <w:r>
        <w:rPr>
          <w:color w:val="000000"/>
        </w:rPr>
        <w:t>93776</w:t>
      </w:r>
      <w:r>
        <w:rPr>
          <w:rFonts w:hint="eastAsia"/>
          <w:color w:val="000000"/>
        </w:rPr>
        <w:t>亩），其中流域防洪工程新增约</w:t>
      </w:r>
      <w:r>
        <w:rPr>
          <w:color w:val="000000"/>
        </w:rPr>
        <w:t>4664</w:t>
      </w:r>
      <w:r>
        <w:rPr>
          <w:rFonts w:hint="eastAsia"/>
          <w:color w:val="000000"/>
        </w:rPr>
        <w:t>亩，区域治理工程新增约</w:t>
      </w:r>
      <w:r>
        <w:rPr>
          <w:color w:val="000000"/>
        </w:rPr>
        <w:t>13898</w:t>
      </w:r>
      <w:r>
        <w:rPr>
          <w:rFonts w:hint="eastAsia"/>
          <w:color w:val="000000"/>
        </w:rPr>
        <w:t>亩，城市防洪工程新增约</w:t>
      </w:r>
      <w:r>
        <w:rPr>
          <w:color w:val="000000"/>
        </w:rPr>
        <w:t>1200</w:t>
      </w:r>
      <w:r>
        <w:rPr>
          <w:rFonts w:hint="eastAsia"/>
          <w:color w:val="000000"/>
        </w:rPr>
        <w:t>亩，水系连通和河道生态治理工程新增约</w:t>
      </w:r>
      <w:r>
        <w:rPr>
          <w:color w:val="000000"/>
        </w:rPr>
        <w:t>3276</w:t>
      </w:r>
      <w:r>
        <w:rPr>
          <w:rFonts w:hint="eastAsia"/>
          <w:color w:val="000000"/>
        </w:rPr>
        <w:t>亩。</w:t>
      </w:r>
    </w:p>
    <w:p>
      <w:pPr>
        <w:ind w:firstLine="31680"/>
        <w:rPr>
          <w:color w:val="000000"/>
        </w:rPr>
      </w:pPr>
      <w:r>
        <w:rPr>
          <w:rFonts w:hint="eastAsia"/>
          <w:color w:val="000000"/>
        </w:rPr>
        <w:t>对新增占地的水利建设类项目，要严格落实国家、省、市关于水利工程建设用地的政策要求，一方面充分保障水利工程建设用地需求，另一方面加强土地节约集约利用。</w:t>
      </w:r>
    </w:p>
    <w:p>
      <w:pPr>
        <w:pStyle w:val="2"/>
        <w:ind w:firstLine="31680"/>
        <w:rPr>
          <w:color w:val="000000"/>
        </w:rPr>
      </w:pPr>
      <w:bookmarkStart w:id="64" w:name="_Toc41928839"/>
      <w:r>
        <w:rPr>
          <w:rFonts w:hint="eastAsia"/>
          <w:color w:val="000000"/>
        </w:rPr>
        <w:t>五、环境影响分析</w:t>
      </w:r>
      <w:bookmarkEnd w:id="64"/>
    </w:p>
    <w:p>
      <w:pPr>
        <w:pStyle w:val="3"/>
        <w:ind w:firstLine="31680"/>
        <w:rPr>
          <w:color w:val="000000"/>
        </w:rPr>
      </w:pPr>
      <w:bookmarkStart w:id="65" w:name="_Toc41928840"/>
      <w:r>
        <w:rPr>
          <w:rFonts w:hint="eastAsia"/>
          <w:color w:val="000000"/>
        </w:rPr>
        <w:t>（一）规划工程环境影响</w:t>
      </w:r>
      <w:bookmarkEnd w:id="65"/>
    </w:p>
    <w:p>
      <w:pPr>
        <w:ind w:firstLine="31680"/>
        <w:rPr>
          <w:color w:val="000000"/>
        </w:rPr>
      </w:pPr>
      <w:r>
        <w:rPr>
          <w:rFonts w:hint="eastAsia"/>
          <w:color w:val="000000"/>
        </w:rPr>
        <w:t>规划项目中的防洪排涝、供水节水、水系连通、退圩还湖等工程的实施，会在一定程度上改变区域水资源利用状况，对河道和湖泊的水文情势产生一定影响，对土地利用、生态环境、生物多样性、湿地系统等造成局部影响。此外，工程施工期间废水、废渣、扬尘、噪音等可能对施工区周边环境带来一定影响。</w:t>
      </w:r>
    </w:p>
    <w:p>
      <w:pPr>
        <w:pStyle w:val="3"/>
        <w:ind w:firstLine="31680"/>
        <w:rPr>
          <w:color w:val="000000"/>
        </w:rPr>
      </w:pPr>
      <w:bookmarkStart w:id="66" w:name="_Toc41928841"/>
      <w:r>
        <w:rPr>
          <w:rFonts w:hint="eastAsia"/>
          <w:color w:val="000000"/>
        </w:rPr>
        <w:t>（二）环境保护措施</w:t>
      </w:r>
      <w:bookmarkEnd w:id="66"/>
    </w:p>
    <w:p>
      <w:pPr>
        <w:ind w:firstLine="31680"/>
        <w:rPr>
          <w:color w:val="000000"/>
        </w:rPr>
      </w:pPr>
      <w:r>
        <w:rPr>
          <w:rFonts w:hint="eastAsia"/>
          <w:color w:val="000000"/>
        </w:rPr>
        <w:t>一是严格执行《环境保护法》等法律法规，落实建设项目环境影响评价制度和各类环保措施，严格执行“三同时”制度；二是落实生态空间保护要求，规划工程的选址选线应严格符合《江苏省国家级生态保护红线规划》等生态空间管控要求；三是全面推进规划中的各类水生态修复和保护措施，充分发挥工程对生态环境的促进和改善作用；四是建立健全生态监测和评估体系，加大对工程可能影响重要生态敏感区的监测与保护，加强规划实施的环境风险评价和管理。</w:t>
      </w:r>
    </w:p>
    <w:p>
      <w:pPr>
        <w:pStyle w:val="3"/>
        <w:ind w:firstLine="31680"/>
        <w:rPr>
          <w:color w:val="000000"/>
        </w:rPr>
      </w:pPr>
      <w:bookmarkStart w:id="67" w:name="_Toc41928842"/>
      <w:r>
        <w:rPr>
          <w:rFonts w:hint="eastAsia"/>
          <w:color w:val="000000"/>
        </w:rPr>
        <w:t>（三）环境影响评价结论</w:t>
      </w:r>
      <w:bookmarkEnd w:id="67"/>
    </w:p>
    <w:p>
      <w:pPr>
        <w:ind w:firstLine="31680"/>
        <w:rPr>
          <w:color w:val="000000"/>
        </w:rPr>
      </w:pPr>
      <w:r>
        <w:rPr>
          <w:rFonts w:hint="eastAsia"/>
          <w:color w:val="000000"/>
        </w:rPr>
        <w:t>规划完善了防洪减灾体系、供水保障体系、水生态修复和保护体系，有效改善地表水水质和生态环境，维护区域水生态安全。规划实施带来的不利环境影响，通过采取相应的环保对策措施可以得到规避和减缓。从环境角度而言，规划实施是总体可行的。</w:t>
      </w:r>
    </w:p>
    <w:p>
      <w:pPr>
        <w:pStyle w:val="2"/>
        <w:spacing w:before="156" w:after="156"/>
        <w:ind w:firstLine="31680"/>
        <w:rPr>
          <w:color w:val="000000"/>
        </w:rPr>
      </w:pPr>
      <w:bookmarkStart w:id="68" w:name="_Toc21704999"/>
      <w:bookmarkStart w:id="69" w:name="_Toc41928843"/>
      <w:r>
        <w:rPr>
          <w:rFonts w:hint="eastAsia"/>
          <w:color w:val="000000"/>
        </w:rPr>
        <w:t>六、保障措施</w:t>
      </w:r>
      <w:bookmarkEnd w:id="68"/>
      <w:bookmarkEnd w:id="69"/>
    </w:p>
    <w:p>
      <w:pPr>
        <w:pStyle w:val="3"/>
        <w:ind w:firstLine="31680"/>
        <w:rPr>
          <w:rStyle w:val="30"/>
          <w:b w:val="0"/>
          <w:bCs/>
          <w:color w:val="000000"/>
          <w:sz w:val="32"/>
        </w:rPr>
      </w:pPr>
      <w:bookmarkStart w:id="70" w:name="_Toc21705000"/>
      <w:bookmarkStart w:id="71" w:name="_Toc41928844"/>
      <w:r>
        <w:rPr>
          <w:rStyle w:val="30"/>
          <w:rFonts w:hint="eastAsia"/>
          <w:b/>
          <w:bCs/>
          <w:color w:val="000000"/>
          <w:sz w:val="32"/>
        </w:rPr>
        <w:t>（一）加强组织</w:t>
      </w:r>
      <w:bookmarkEnd w:id="70"/>
      <w:r>
        <w:rPr>
          <w:rStyle w:val="30"/>
          <w:rFonts w:hint="eastAsia"/>
          <w:b/>
          <w:bCs/>
          <w:color w:val="000000"/>
          <w:sz w:val="32"/>
        </w:rPr>
        <w:t>领导</w:t>
      </w:r>
      <w:bookmarkEnd w:id="71"/>
    </w:p>
    <w:p>
      <w:pPr>
        <w:ind w:firstLine="31680"/>
        <w:rPr>
          <w:color w:val="000000"/>
        </w:rPr>
      </w:pPr>
      <w:r>
        <w:rPr>
          <w:rFonts w:hint="eastAsia"/>
          <w:color w:val="000000"/>
        </w:rPr>
        <w:t>各级政府要高度重视“十四五”水利改革发展，加强组织领导，建立完善水利与发展改革、财政、自然资源、生态环境、农业农村、住建、交通运输等多部门协作机制，明确职责分工，强化协调配合，争取政策支持，及时解决水利发展中的重大问题，合力推进规划实施。各级水行政主管部门要按照规划总体部署，强化规划各环节组织实施，将规划目标任务分解落实到各责任主体，明确时间节点，列明任务表、路线图和责任单，加强监督、严格考核，切实做好水利发展改革实施工作，全力推进各项水利建设项目和发展改革措施落地。</w:t>
      </w:r>
    </w:p>
    <w:p>
      <w:pPr>
        <w:pStyle w:val="3"/>
        <w:ind w:firstLine="31680"/>
        <w:rPr>
          <w:color w:val="000000"/>
        </w:rPr>
      </w:pPr>
      <w:bookmarkStart w:id="72" w:name="_Toc21705001"/>
      <w:bookmarkStart w:id="73" w:name="_Toc41928845"/>
      <w:r>
        <w:rPr>
          <w:rStyle w:val="30"/>
          <w:rFonts w:hint="eastAsia"/>
          <w:b/>
          <w:bCs/>
          <w:color w:val="000000"/>
          <w:sz w:val="32"/>
        </w:rPr>
        <w:t>（二）加强前期工作</w:t>
      </w:r>
      <w:bookmarkEnd w:id="72"/>
      <w:bookmarkEnd w:id="73"/>
    </w:p>
    <w:p>
      <w:pPr>
        <w:ind w:firstLine="31680"/>
        <w:rPr>
          <w:color w:val="000000"/>
        </w:rPr>
      </w:pPr>
      <w:bookmarkStart w:id="74" w:name="_Toc21705002"/>
      <w:r>
        <w:rPr>
          <w:rFonts w:hint="eastAsia"/>
          <w:color w:val="000000"/>
        </w:rPr>
        <w:t>“十四五”全市重点水利项目建设任务较重，这些项目既是当前和今后水利发展的主要薄弱环节，也是关系保安全、促民生、稳增长的大事。对照“十四五”水利发展重点项目安排，一方面要超前谋划、提前介入，积极推进前期工作进度，严格前期工作程序和流程，确保前期工作走在前头；另一方面，要精心组织、科学研究，加强技术咨询服务，深化项目前期论证，加强对可能影响工程建设重大布局的环境影响、土地利用、社会稳定等评估工作，落实勘察设计安全生产责任，不断提高提高前期工作的精度和质量，确保项目早开工、早建设，充分发挥重点工程综合效益和带动作用。</w:t>
      </w:r>
    </w:p>
    <w:p>
      <w:pPr>
        <w:pStyle w:val="3"/>
        <w:ind w:firstLine="31680"/>
        <w:rPr>
          <w:rStyle w:val="30"/>
          <w:b w:val="0"/>
          <w:bCs/>
          <w:color w:val="000000"/>
          <w:sz w:val="32"/>
        </w:rPr>
      </w:pPr>
      <w:bookmarkStart w:id="75" w:name="_Toc41928846"/>
      <w:r>
        <w:rPr>
          <w:rStyle w:val="30"/>
          <w:rFonts w:hint="eastAsia"/>
          <w:b/>
          <w:bCs/>
          <w:color w:val="000000"/>
          <w:sz w:val="32"/>
        </w:rPr>
        <w:t>（三）加大水利投入</w:t>
      </w:r>
      <w:bookmarkEnd w:id="74"/>
      <w:bookmarkEnd w:id="75"/>
    </w:p>
    <w:p>
      <w:pPr>
        <w:ind w:firstLine="31680"/>
        <w:rPr>
          <w:color w:val="000000"/>
        </w:rPr>
      </w:pPr>
      <w:r>
        <w:rPr>
          <w:rFonts w:hint="eastAsia"/>
          <w:color w:val="000000"/>
        </w:rPr>
        <w:t>积极争取中央水利投资补助、落实省级水利投资，多方促进市（区）财政加大水利投入，争取将水利投入在各级政府财政支出排序中前移。严格水利非税收入征收，确保各类政府性基金和专项收入足额征收使用。进一步发挥市场配置资源作用，将部分由政府提供的水利基本公共服务，逐步向市场主体或社会力量购买，推动水利公共服务承接主体和提供方式多元化。规范推进水利基础设施</w:t>
      </w:r>
      <w:r>
        <w:rPr>
          <w:color w:val="000000"/>
        </w:rPr>
        <w:t>PPP</w:t>
      </w:r>
      <w:r>
        <w:rPr>
          <w:rFonts w:hint="eastAsia"/>
          <w:color w:val="000000"/>
        </w:rPr>
        <w:t>等模式，推介、扶持、培育一批水利工程</w:t>
      </w:r>
      <w:r>
        <w:rPr>
          <w:color w:val="000000"/>
        </w:rPr>
        <w:t>PPP</w:t>
      </w:r>
      <w:r>
        <w:rPr>
          <w:rFonts w:hint="eastAsia"/>
          <w:color w:val="000000"/>
        </w:rPr>
        <w:t>项目，吸引社会资本更广泛参与到水利建设中。争取“十四五”期间水利建设投入总量和增幅进一步提高。</w:t>
      </w:r>
    </w:p>
    <w:p>
      <w:pPr>
        <w:pStyle w:val="3"/>
        <w:ind w:firstLine="31680"/>
        <w:rPr>
          <w:color w:val="000000"/>
        </w:rPr>
      </w:pPr>
      <w:bookmarkStart w:id="76" w:name="_Toc21705003"/>
      <w:bookmarkStart w:id="77" w:name="_Toc41928847"/>
      <w:r>
        <w:rPr>
          <w:rStyle w:val="30"/>
          <w:rFonts w:hint="eastAsia"/>
          <w:b/>
          <w:bCs/>
          <w:color w:val="000000"/>
          <w:sz w:val="32"/>
        </w:rPr>
        <w:t>（四）强化</w:t>
      </w:r>
      <w:r>
        <w:rPr>
          <w:rFonts w:hint="eastAsia"/>
          <w:color w:val="000000"/>
        </w:rPr>
        <w:t>人才支撑</w:t>
      </w:r>
      <w:bookmarkEnd w:id="76"/>
      <w:bookmarkEnd w:id="77"/>
    </w:p>
    <w:p>
      <w:pPr>
        <w:ind w:firstLine="31680"/>
        <w:rPr>
          <w:color w:val="000000"/>
          <w:szCs w:val="32"/>
        </w:rPr>
      </w:pPr>
      <w:r>
        <w:rPr>
          <w:rFonts w:hint="eastAsia"/>
          <w:color w:val="000000"/>
          <w:szCs w:val="32"/>
        </w:rPr>
        <w:t>全面加强人才培养，鼓励和支持干部职工提升个人学历层次、知识层次、实际工作能力和思想理论素质水平；确保每年</w:t>
      </w:r>
      <w:r>
        <w:rPr>
          <w:color w:val="000000"/>
          <w:szCs w:val="32"/>
        </w:rPr>
        <w:t>1/5</w:t>
      </w:r>
      <w:r>
        <w:rPr>
          <w:rFonts w:hint="eastAsia"/>
          <w:color w:val="000000"/>
          <w:szCs w:val="32"/>
        </w:rPr>
        <w:t>以上人员轮训，公务员和专业技术人员每年参加网上学习培训不少于</w:t>
      </w:r>
      <w:r>
        <w:rPr>
          <w:color w:val="000000"/>
          <w:szCs w:val="32"/>
        </w:rPr>
        <w:t>96</w:t>
      </w:r>
      <w:r>
        <w:rPr>
          <w:rFonts w:hint="eastAsia"/>
          <w:color w:val="000000"/>
          <w:szCs w:val="32"/>
        </w:rPr>
        <w:t>个学时。全面加强人才</w:t>
      </w:r>
      <w:r>
        <w:rPr>
          <w:rFonts w:hint="eastAsia"/>
          <w:color w:val="000000"/>
        </w:rPr>
        <w:t>塑引，</w:t>
      </w:r>
      <w:r>
        <w:rPr>
          <w:rFonts w:hint="eastAsia"/>
          <w:color w:val="000000"/>
          <w:szCs w:val="32"/>
        </w:rPr>
        <w:t>培养晋升高级职称</w:t>
      </w:r>
      <w:r>
        <w:rPr>
          <w:color w:val="000000"/>
          <w:szCs w:val="32"/>
        </w:rPr>
        <w:t>25</w:t>
      </w:r>
      <w:r>
        <w:rPr>
          <w:rFonts w:hint="eastAsia"/>
          <w:color w:val="000000"/>
          <w:szCs w:val="32"/>
        </w:rPr>
        <w:t>名以上、中级职称</w:t>
      </w:r>
      <w:r>
        <w:rPr>
          <w:color w:val="000000"/>
          <w:szCs w:val="32"/>
        </w:rPr>
        <w:t>250</w:t>
      </w:r>
      <w:r>
        <w:rPr>
          <w:rFonts w:hint="eastAsia"/>
          <w:color w:val="000000"/>
          <w:szCs w:val="32"/>
        </w:rPr>
        <w:t>名以上，引进水利高层次人才</w:t>
      </w:r>
      <w:r>
        <w:rPr>
          <w:color w:val="000000"/>
          <w:szCs w:val="32"/>
        </w:rPr>
        <w:t>10</w:t>
      </w:r>
      <w:r>
        <w:rPr>
          <w:rFonts w:hint="eastAsia"/>
          <w:color w:val="000000"/>
          <w:szCs w:val="32"/>
        </w:rPr>
        <w:t>名以上，提高人才“智库”建设水平。全面加强人才激励，加强公务员考核评价机制，推进事业单位人员聘用制度，对学术技术带头人，科技突出成就高、工程重大贡献者等设置相应奖励项目，激发人才活力。</w:t>
      </w:r>
    </w:p>
    <w:p>
      <w:pPr>
        <w:pStyle w:val="3"/>
        <w:ind w:firstLine="31680"/>
        <w:rPr>
          <w:color w:val="000000"/>
        </w:rPr>
      </w:pPr>
      <w:bookmarkStart w:id="78" w:name="_Toc41928848"/>
      <w:bookmarkStart w:id="79" w:name="_Toc21705004"/>
      <w:r>
        <w:rPr>
          <w:rStyle w:val="30"/>
          <w:rFonts w:hint="eastAsia"/>
          <w:b/>
          <w:bCs/>
          <w:color w:val="000000"/>
          <w:sz w:val="32"/>
        </w:rPr>
        <w:t>（五）强化</w:t>
      </w:r>
      <w:r>
        <w:rPr>
          <w:rFonts w:hint="eastAsia"/>
          <w:color w:val="000000"/>
        </w:rPr>
        <w:t>科技引领</w:t>
      </w:r>
      <w:bookmarkEnd w:id="78"/>
      <w:bookmarkEnd w:id="79"/>
    </w:p>
    <w:p>
      <w:pPr>
        <w:ind w:firstLine="31680"/>
        <w:rPr>
          <w:color w:val="000000"/>
        </w:rPr>
      </w:pPr>
      <w:r>
        <w:rPr>
          <w:rFonts w:hint="eastAsia"/>
          <w:color w:val="000000"/>
        </w:rPr>
        <w:t>构建布局合理、精干高效的水利科技创新体系，加快从具体项目管理向创新服务转变。加快创新平台建设，鼓励支持开展多种形式的科技示范基地、试验站等建设，形成以点带面的技术辐射格局；加快科研课题研究，重点加强对洪涝风险图、水生态修复技术、智慧水利建设等重点课题的研究力度，积极申报省水利科技项目；加快成果转化应用，积极将新理论、新工艺、新材料运用到工程建设管理中，推动更多应用类科技成果推广转化；积极举办科技成果推广会，积极组织科技讲座、报告会、短期培训班等，营造良好的水利科技宣传氛围。</w:t>
      </w:r>
    </w:p>
    <w:p>
      <w:pPr>
        <w:pStyle w:val="2"/>
        <w:pageBreakBefore/>
        <w:ind w:firstLine="0" w:firstLineChars="0"/>
        <w:jc w:val="center"/>
        <w:rPr>
          <w:rFonts w:eastAsia="仿宋"/>
          <w:color w:val="000000"/>
          <w:sz w:val="28"/>
          <w:szCs w:val="40"/>
        </w:rPr>
      </w:pPr>
      <w:bookmarkStart w:id="80" w:name="_Toc41928849"/>
      <w:r>
        <w:rPr>
          <w:rFonts w:hint="eastAsia" w:eastAsia="仿宋"/>
          <w:color w:val="000000"/>
          <w:sz w:val="28"/>
          <w:szCs w:val="40"/>
        </w:rPr>
        <w:t>附件</w:t>
      </w:r>
      <w:r>
        <w:rPr>
          <w:rFonts w:eastAsia="仿宋"/>
          <w:color w:val="000000"/>
          <w:sz w:val="28"/>
          <w:szCs w:val="40"/>
        </w:rPr>
        <w:t xml:space="preserve">1  </w:t>
      </w:r>
      <w:r>
        <w:rPr>
          <w:rFonts w:hint="eastAsia" w:eastAsia="仿宋"/>
          <w:color w:val="000000"/>
          <w:sz w:val="28"/>
          <w:szCs w:val="40"/>
        </w:rPr>
        <w:t>泰州市</w:t>
      </w:r>
      <w:r>
        <w:rPr>
          <w:rFonts w:eastAsia="仿宋"/>
          <w:color w:val="000000"/>
          <w:sz w:val="28"/>
          <w:szCs w:val="40"/>
        </w:rPr>
        <w:t>2021-2025</w:t>
      </w:r>
      <w:r>
        <w:rPr>
          <w:rFonts w:hint="eastAsia" w:eastAsia="仿宋"/>
          <w:color w:val="000000"/>
          <w:sz w:val="28"/>
          <w:szCs w:val="40"/>
        </w:rPr>
        <w:t>年水利发展规划目标表</w:t>
      </w:r>
      <w:bookmarkEnd w:id="80"/>
    </w:p>
    <w:tbl>
      <w:tblPr>
        <w:tblStyle w:val="28"/>
        <w:tblW w:w="8732" w:type="dxa"/>
        <w:jc w:val="center"/>
        <w:tblInd w:w="0" w:type="dxa"/>
        <w:tblLayout w:type="fixed"/>
        <w:tblCellMar>
          <w:top w:w="0" w:type="dxa"/>
          <w:left w:w="108" w:type="dxa"/>
          <w:bottom w:w="0" w:type="dxa"/>
          <w:right w:w="108" w:type="dxa"/>
        </w:tblCellMar>
      </w:tblPr>
      <w:tblGrid>
        <w:gridCol w:w="801"/>
        <w:gridCol w:w="1087"/>
        <w:gridCol w:w="2476"/>
        <w:gridCol w:w="3349"/>
        <w:gridCol w:w="1019"/>
      </w:tblGrid>
      <w:tr>
        <w:tblPrEx>
          <w:tblLayout w:type="fixed"/>
          <w:tblCellMar>
            <w:top w:w="0" w:type="dxa"/>
            <w:left w:w="108" w:type="dxa"/>
            <w:bottom w:w="0" w:type="dxa"/>
            <w:right w:w="108" w:type="dxa"/>
          </w:tblCellMar>
        </w:tblPrEx>
        <w:trPr>
          <w:trHeight w:val="20" w:hRule="atLeast"/>
          <w:tblHeader/>
          <w:jc w:val="center"/>
        </w:trPr>
        <w:tc>
          <w:tcPr>
            <w:tcW w:w="801" w:type="dxa"/>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b/>
                <w:bCs/>
                <w:color w:val="000000"/>
                <w:kern w:val="0"/>
                <w:sz w:val="21"/>
                <w:szCs w:val="21"/>
              </w:rPr>
            </w:pPr>
            <w:r>
              <w:rPr>
                <w:rFonts w:hint="eastAsia" w:eastAsia="宋体"/>
                <w:b/>
                <w:bCs/>
                <w:color w:val="000000"/>
                <w:kern w:val="0"/>
                <w:sz w:val="21"/>
                <w:szCs w:val="21"/>
              </w:rPr>
              <w:t>序号</w:t>
            </w:r>
          </w:p>
        </w:tc>
        <w:tc>
          <w:tcPr>
            <w:tcW w:w="3563" w:type="dxa"/>
            <w:gridSpan w:val="2"/>
            <w:tcBorders>
              <w:top w:val="single" w:color="auto" w:sz="4" w:space="0"/>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b/>
                <w:bCs/>
                <w:color w:val="000000"/>
                <w:kern w:val="0"/>
                <w:sz w:val="21"/>
                <w:szCs w:val="21"/>
              </w:rPr>
            </w:pPr>
            <w:r>
              <w:rPr>
                <w:rFonts w:hint="eastAsia" w:eastAsia="宋体"/>
                <w:b/>
                <w:bCs/>
                <w:color w:val="000000"/>
                <w:kern w:val="0"/>
                <w:sz w:val="21"/>
                <w:szCs w:val="21"/>
              </w:rPr>
              <w:t>指</w:t>
            </w:r>
            <w:r>
              <w:rPr>
                <w:rFonts w:eastAsia="宋体"/>
                <w:b/>
                <w:bCs/>
                <w:color w:val="000000"/>
                <w:kern w:val="0"/>
                <w:sz w:val="21"/>
                <w:szCs w:val="21"/>
              </w:rPr>
              <w:t xml:space="preserve">    </w:t>
            </w:r>
            <w:r>
              <w:rPr>
                <w:rFonts w:hint="eastAsia" w:eastAsia="宋体"/>
                <w:b/>
                <w:bCs/>
                <w:color w:val="000000"/>
                <w:kern w:val="0"/>
                <w:sz w:val="21"/>
                <w:szCs w:val="21"/>
              </w:rPr>
              <w:t>标</w:t>
            </w:r>
          </w:p>
        </w:tc>
        <w:tc>
          <w:tcPr>
            <w:tcW w:w="3349" w:type="dxa"/>
            <w:tcBorders>
              <w:top w:val="single" w:color="auto" w:sz="4" w:space="0"/>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b/>
                <w:bCs/>
                <w:color w:val="000000"/>
                <w:kern w:val="0"/>
                <w:sz w:val="21"/>
                <w:szCs w:val="21"/>
              </w:rPr>
            </w:pPr>
            <w:r>
              <w:rPr>
                <w:rFonts w:eastAsia="宋体"/>
                <w:b/>
                <w:bCs/>
                <w:color w:val="000000"/>
                <w:kern w:val="0"/>
                <w:sz w:val="21"/>
                <w:szCs w:val="21"/>
              </w:rPr>
              <w:t>2025</w:t>
            </w:r>
            <w:r>
              <w:rPr>
                <w:rFonts w:hint="eastAsia" w:eastAsia="宋体"/>
                <w:b/>
                <w:bCs/>
                <w:color w:val="000000"/>
                <w:kern w:val="0"/>
                <w:sz w:val="21"/>
                <w:szCs w:val="21"/>
              </w:rPr>
              <w:t>年规划目标</w:t>
            </w:r>
          </w:p>
        </w:tc>
        <w:tc>
          <w:tcPr>
            <w:tcW w:w="1019" w:type="dxa"/>
            <w:tcBorders>
              <w:top w:val="single" w:color="auto" w:sz="4" w:space="0"/>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b/>
                <w:bCs/>
                <w:color w:val="000000"/>
                <w:kern w:val="0"/>
                <w:sz w:val="21"/>
                <w:szCs w:val="21"/>
              </w:rPr>
            </w:pPr>
            <w:r>
              <w:rPr>
                <w:rFonts w:hint="eastAsia" w:eastAsia="宋体"/>
                <w:b/>
                <w:bCs/>
                <w:color w:val="000000"/>
                <w:kern w:val="0"/>
                <w:sz w:val="21"/>
                <w:szCs w:val="21"/>
              </w:rPr>
              <w:t>指标</w:t>
            </w:r>
          </w:p>
          <w:p>
            <w:pPr>
              <w:widowControl/>
              <w:snapToGrid/>
              <w:spacing w:line="240" w:lineRule="auto"/>
              <w:ind w:firstLine="0" w:firstLineChars="0"/>
              <w:jc w:val="center"/>
              <w:rPr>
                <w:rFonts w:eastAsia="宋体"/>
                <w:b/>
                <w:bCs/>
                <w:color w:val="000000"/>
                <w:kern w:val="0"/>
                <w:sz w:val="21"/>
                <w:szCs w:val="21"/>
              </w:rPr>
            </w:pPr>
            <w:r>
              <w:rPr>
                <w:rFonts w:hint="eastAsia" w:eastAsia="宋体"/>
                <w:b/>
                <w:bCs/>
                <w:color w:val="000000"/>
                <w:kern w:val="0"/>
                <w:sz w:val="21"/>
                <w:szCs w:val="21"/>
              </w:rPr>
              <w:t>属性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1</w:t>
            </w:r>
          </w:p>
        </w:tc>
        <w:tc>
          <w:tcPr>
            <w:tcW w:w="1087" w:type="dxa"/>
            <w:vMerge w:val="restart"/>
            <w:tcBorders>
              <w:top w:val="nil"/>
              <w:left w:val="single" w:color="auto" w:sz="4" w:space="0"/>
              <w:bottom w:val="single" w:color="000000"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安全水利</w:t>
            </w: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流域防洪标准</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长江堤防在全面巩固</w:t>
            </w:r>
            <w:r>
              <w:rPr>
                <w:rFonts w:eastAsia="宋体"/>
                <w:color w:val="000000"/>
                <w:kern w:val="0"/>
                <w:sz w:val="21"/>
                <w:szCs w:val="21"/>
              </w:rPr>
              <w:t>“</w:t>
            </w:r>
            <w:r>
              <w:rPr>
                <w:rFonts w:hint="eastAsia" w:eastAsia="宋体"/>
                <w:color w:val="000000"/>
                <w:kern w:val="0"/>
                <w:sz w:val="21"/>
                <w:szCs w:val="21"/>
              </w:rPr>
              <w:t>长流规</w:t>
            </w:r>
            <w:r>
              <w:rPr>
                <w:rFonts w:eastAsia="宋体"/>
                <w:color w:val="000000"/>
                <w:kern w:val="0"/>
                <w:sz w:val="21"/>
                <w:szCs w:val="21"/>
              </w:rPr>
              <w:t>”</w:t>
            </w:r>
            <w:r>
              <w:rPr>
                <w:rFonts w:hint="eastAsia" w:eastAsia="宋体"/>
                <w:color w:val="000000"/>
                <w:kern w:val="0"/>
                <w:sz w:val="21"/>
                <w:szCs w:val="21"/>
              </w:rPr>
              <w:t>标准的基础上，基本达到</w:t>
            </w:r>
            <w:r>
              <w:rPr>
                <w:rFonts w:eastAsia="宋体"/>
                <w:color w:val="000000"/>
                <w:kern w:val="0"/>
                <w:sz w:val="21"/>
                <w:szCs w:val="21"/>
              </w:rPr>
              <w:t>100</w:t>
            </w:r>
            <w:r>
              <w:rPr>
                <w:rFonts w:hint="eastAsia" w:eastAsia="宋体"/>
                <w:color w:val="000000"/>
                <w:kern w:val="0"/>
                <w:sz w:val="21"/>
                <w:szCs w:val="21"/>
              </w:rPr>
              <w:t>年一遇防洪标准</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2</w:t>
            </w:r>
          </w:p>
        </w:tc>
        <w:tc>
          <w:tcPr>
            <w:tcW w:w="1087" w:type="dxa"/>
            <w:vMerge w:val="continue"/>
            <w:tcBorders>
              <w:top w:val="nil"/>
              <w:left w:val="single" w:color="auto" w:sz="4" w:space="0"/>
              <w:bottom w:val="single" w:color="000000" w:sz="4" w:space="0"/>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2476" w:type="dxa"/>
            <w:vMerge w:val="restart"/>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区城防洪除涝标准</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防洪：老</w:t>
            </w:r>
            <w:r>
              <w:rPr>
                <w:rFonts w:eastAsia="宋体"/>
                <w:color w:val="000000"/>
                <w:kern w:val="0"/>
                <w:sz w:val="21"/>
                <w:szCs w:val="21"/>
              </w:rPr>
              <w:t>328</w:t>
            </w:r>
            <w:r>
              <w:rPr>
                <w:rFonts w:hint="eastAsia" w:eastAsia="宋体"/>
                <w:color w:val="000000"/>
                <w:kern w:val="0"/>
                <w:sz w:val="21"/>
                <w:szCs w:val="21"/>
              </w:rPr>
              <w:t>国道控制线</w:t>
            </w:r>
            <w:r>
              <w:rPr>
                <w:rFonts w:eastAsia="宋体"/>
                <w:color w:val="000000"/>
                <w:kern w:val="0"/>
                <w:sz w:val="21"/>
                <w:szCs w:val="21"/>
              </w:rPr>
              <w:t>100</w:t>
            </w:r>
            <w:r>
              <w:rPr>
                <w:rFonts w:hint="eastAsia" w:eastAsia="宋体"/>
                <w:color w:val="000000"/>
                <w:kern w:val="0"/>
                <w:sz w:val="21"/>
                <w:szCs w:val="21"/>
              </w:rPr>
              <w:t>年一遇，里下河圩区</w:t>
            </w:r>
            <w:r>
              <w:rPr>
                <w:rFonts w:eastAsia="宋体"/>
                <w:color w:val="000000"/>
                <w:kern w:val="0"/>
                <w:sz w:val="21"/>
                <w:szCs w:val="21"/>
              </w:rPr>
              <w:t>20</w:t>
            </w:r>
            <w:r>
              <w:rPr>
                <w:rFonts w:hint="eastAsia" w:eastAsia="宋体"/>
                <w:color w:val="000000"/>
                <w:kern w:val="0"/>
                <w:sz w:val="21"/>
                <w:szCs w:val="21"/>
              </w:rPr>
              <w:t>年一遇，区域骨干河道</w:t>
            </w:r>
            <w:r>
              <w:rPr>
                <w:rFonts w:eastAsia="宋体"/>
                <w:color w:val="000000"/>
                <w:kern w:val="0"/>
                <w:sz w:val="21"/>
                <w:szCs w:val="21"/>
              </w:rPr>
              <w:t>10-20</w:t>
            </w:r>
            <w:r>
              <w:rPr>
                <w:rFonts w:hint="eastAsia" w:eastAsia="宋体"/>
                <w:color w:val="000000"/>
                <w:kern w:val="0"/>
                <w:sz w:val="21"/>
                <w:szCs w:val="21"/>
              </w:rPr>
              <w:t>年一遇</w:t>
            </w:r>
          </w:p>
        </w:tc>
        <w:tc>
          <w:tcPr>
            <w:tcW w:w="1019" w:type="dxa"/>
            <w:vMerge w:val="restart"/>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3</w:t>
            </w:r>
          </w:p>
        </w:tc>
        <w:tc>
          <w:tcPr>
            <w:tcW w:w="1087" w:type="dxa"/>
            <w:vMerge w:val="continue"/>
            <w:tcBorders>
              <w:top w:val="nil"/>
              <w:left w:val="single" w:color="auto" w:sz="4" w:space="0"/>
              <w:bottom w:val="single" w:color="000000" w:sz="4" w:space="0"/>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2476" w:type="dxa"/>
            <w:vMerge w:val="continue"/>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除涝：里下河地区</w:t>
            </w:r>
            <w:r>
              <w:rPr>
                <w:rFonts w:eastAsia="宋体"/>
                <w:color w:val="000000"/>
                <w:kern w:val="0"/>
                <w:sz w:val="21"/>
                <w:szCs w:val="21"/>
              </w:rPr>
              <w:t>10</w:t>
            </w:r>
            <w:r>
              <w:rPr>
                <w:rFonts w:hint="eastAsia" w:eastAsia="宋体"/>
                <w:color w:val="000000"/>
                <w:kern w:val="0"/>
                <w:sz w:val="21"/>
                <w:szCs w:val="21"/>
              </w:rPr>
              <w:t>年一遇，圩内达到</w:t>
            </w:r>
            <w:r>
              <w:rPr>
                <w:rFonts w:eastAsia="宋体"/>
                <w:color w:val="000000"/>
                <w:kern w:val="0"/>
                <w:sz w:val="21"/>
                <w:szCs w:val="21"/>
              </w:rPr>
              <w:t>20</w:t>
            </w:r>
            <w:r>
              <w:rPr>
                <w:rFonts w:hint="eastAsia" w:eastAsia="宋体"/>
                <w:color w:val="000000"/>
                <w:kern w:val="0"/>
                <w:sz w:val="21"/>
                <w:szCs w:val="21"/>
              </w:rPr>
              <w:t>年一遇；沿江圩区农业区达到</w:t>
            </w:r>
            <w:r>
              <w:rPr>
                <w:rFonts w:eastAsia="宋体"/>
                <w:color w:val="000000"/>
                <w:kern w:val="0"/>
                <w:sz w:val="21"/>
                <w:szCs w:val="21"/>
              </w:rPr>
              <w:t>10-20</w:t>
            </w:r>
            <w:r>
              <w:rPr>
                <w:rFonts w:hint="eastAsia" w:eastAsia="宋体"/>
                <w:color w:val="000000"/>
                <w:kern w:val="0"/>
                <w:sz w:val="21"/>
                <w:szCs w:val="21"/>
              </w:rPr>
              <w:t>年一遇；其他地区基本达</w:t>
            </w:r>
            <w:r>
              <w:rPr>
                <w:rFonts w:eastAsia="宋体"/>
                <w:color w:val="000000"/>
                <w:kern w:val="0"/>
                <w:sz w:val="21"/>
                <w:szCs w:val="21"/>
              </w:rPr>
              <w:t>20</w:t>
            </w:r>
            <w:r>
              <w:rPr>
                <w:rFonts w:hint="eastAsia" w:eastAsia="宋体"/>
                <w:color w:val="000000"/>
                <w:kern w:val="0"/>
                <w:sz w:val="21"/>
                <w:szCs w:val="21"/>
              </w:rPr>
              <w:t>年一遇</w:t>
            </w:r>
          </w:p>
        </w:tc>
        <w:tc>
          <w:tcPr>
            <w:tcW w:w="1019" w:type="dxa"/>
            <w:vMerge w:val="continue"/>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4</w:t>
            </w:r>
          </w:p>
        </w:tc>
        <w:tc>
          <w:tcPr>
            <w:tcW w:w="1087" w:type="dxa"/>
            <w:vMerge w:val="continue"/>
            <w:tcBorders>
              <w:top w:val="nil"/>
              <w:left w:val="single" w:color="auto" w:sz="4" w:space="0"/>
              <w:bottom w:val="single" w:color="000000" w:sz="4" w:space="0"/>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城市防洪排涝标准</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中心城区防洪达到</w:t>
            </w:r>
            <w:r>
              <w:rPr>
                <w:rFonts w:eastAsia="宋体"/>
                <w:color w:val="000000"/>
                <w:kern w:val="0"/>
                <w:sz w:val="21"/>
                <w:szCs w:val="21"/>
              </w:rPr>
              <w:t>100</w:t>
            </w:r>
            <w:r>
              <w:rPr>
                <w:rFonts w:hint="eastAsia" w:eastAsia="宋体"/>
                <w:color w:val="000000"/>
                <w:kern w:val="0"/>
                <w:sz w:val="21"/>
                <w:szCs w:val="21"/>
              </w:rPr>
              <w:t>年一遇，各市（区）建成区及</w:t>
            </w:r>
            <w:r>
              <w:rPr>
                <w:rFonts w:eastAsia="宋体"/>
                <w:color w:val="000000"/>
                <w:kern w:val="0"/>
                <w:sz w:val="21"/>
                <w:szCs w:val="21"/>
              </w:rPr>
              <w:t>9</w:t>
            </w:r>
            <w:r>
              <w:rPr>
                <w:rFonts w:hint="eastAsia" w:eastAsia="宋体"/>
                <w:color w:val="000000"/>
                <w:kern w:val="0"/>
                <w:sz w:val="21"/>
                <w:szCs w:val="21"/>
              </w:rPr>
              <w:t>个小城市基本达到</w:t>
            </w:r>
            <w:r>
              <w:rPr>
                <w:rFonts w:eastAsia="宋体"/>
                <w:color w:val="000000"/>
                <w:kern w:val="0"/>
                <w:sz w:val="21"/>
                <w:szCs w:val="21"/>
              </w:rPr>
              <w:t>50</w:t>
            </w:r>
            <w:r>
              <w:rPr>
                <w:rFonts w:hint="eastAsia" w:eastAsia="宋体"/>
                <w:color w:val="000000"/>
                <w:kern w:val="0"/>
                <w:sz w:val="21"/>
                <w:szCs w:val="21"/>
              </w:rPr>
              <w:t>年一遇，其他乡镇（街道）</w:t>
            </w:r>
            <w:r>
              <w:rPr>
                <w:rFonts w:eastAsia="宋体"/>
                <w:color w:val="000000"/>
                <w:kern w:val="0"/>
                <w:sz w:val="21"/>
                <w:szCs w:val="21"/>
              </w:rPr>
              <w:t>20</w:t>
            </w:r>
            <w:r>
              <w:rPr>
                <w:rFonts w:hint="eastAsia" w:eastAsia="宋体"/>
                <w:color w:val="000000"/>
                <w:kern w:val="0"/>
                <w:sz w:val="21"/>
                <w:szCs w:val="21"/>
              </w:rPr>
              <w:t>年一遇以上；城市排涝河道基本达到</w:t>
            </w:r>
            <w:r>
              <w:rPr>
                <w:rFonts w:eastAsia="宋体"/>
                <w:color w:val="000000"/>
                <w:kern w:val="0"/>
                <w:sz w:val="21"/>
                <w:szCs w:val="21"/>
              </w:rPr>
              <w:t>20</w:t>
            </w:r>
            <w:r>
              <w:rPr>
                <w:rFonts w:hint="eastAsia" w:eastAsia="宋体"/>
                <w:color w:val="000000"/>
                <w:kern w:val="0"/>
                <w:sz w:val="21"/>
                <w:szCs w:val="21"/>
              </w:rPr>
              <w:t>年一遇</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5</w:t>
            </w:r>
          </w:p>
        </w:tc>
        <w:tc>
          <w:tcPr>
            <w:tcW w:w="1087" w:type="dxa"/>
            <w:vMerge w:val="restart"/>
            <w:tcBorders>
              <w:top w:val="nil"/>
              <w:left w:val="single" w:color="auto" w:sz="4" w:space="0"/>
              <w:bottom w:val="single" w:color="000000"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资源水利</w:t>
            </w: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全市总用水量</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33</w:t>
            </w:r>
            <w:r>
              <w:rPr>
                <w:rFonts w:hint="eastAsia" w:eastAsia="宋体"/>
                <w:color w:val="000000"/>
                <w:kern w:val="0"/>
                <w:sz w:val="21"/>
                <w:szCs w:val="21"/>
              </w:rPr>
              <w:t>亿立方米</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约束性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6</w:t>
            </w:r>
          </w:p>
        </w:tc>
        <w:tc>
          <w:tcPr>
            <w:tcW w:w="1087" w:type="dxa"/>
            <w:vMerge w:val="continue"/>
            <w:tcBorders>
              <w:top w:val="nil"/>
              <w:left w:val="single" w:color="auto" w:sz="4" w:space="0"/>
              <w:bottom w:val="single" w:color="000000" w:sz="4" w:space="0"/>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供水保证率</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生活</w:t>
            </w:r>
            <w:r>
              <w:rPr>
                <w:rFonts w:eastAsia="宋体"/>
                <w:color w:val="000000"/>
                <w:kern w:val="0"/>
                <w:sz w:val="21"/>
                <w:szCs w:val="21"/>
              </w:rPr>
              <w:t>97%</w:t>
            </w:r>
            <w:r>
              <w:rPr>
                <w:rFonts w:hint="eastAsia" w:eastAsia="宋体"/>
                <w:color w:val="000000"/>
                <w:kern w:val="0"/>
                <w:sz w:val="21"/>
                <w:szCs w:val="21"/>
              </w:rPr>
              <w:t>以上、重点工业</w:t>
            </w:r>
            <w:r>
              <w:rPr>
                <w:rFonts w:eastAsia="宋体"/>
                <w:color w:val="000000"/>
                <w:kern w:val="0"/>
                <w:sz w:val="21"/>
                <w:szCs w:val="21"/>
              </w:rPr>
              <w:t>95%</w:t>
            </w:r>
            <w:r>
              <w:rPr>
                <w:rFonts w:hint="eastAsia" w:eastAsia="宋体"/>
                <w:color w:val="000000"/>
                <w:kern w:val="0"/>
                <w:sz w:val="21"/>
                <w:szCs w:val="21"/>
              </w:rPr>
              <w:t>以上、农业基本达到</w:t>
            </w:r>
            <w:r>
              <w:rPr>
                <w:rFonts w:eastAsia="宋体"/>
                <w:color w:val="000000"/>
                <w:kern w:val="0"/>
                <w:sz w:val="21"/>
                <w:szCs w:val="21"/>
              </w:rPr>
              <w:t xml:space="preserve">85% </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7</w:t>
            </w:r>
          </w:p>
        </w:tc>
        <w:tc>
          <w:tcPr>
            <w:tcW w:w="1087" w:type="dxa"/>
            <w:vMerge w:val="continue"/>
            <w:tcBorders>
              <w:top w:val="nil"/>
              <w:left w:val="single" w:color="auto" w:sz="4" w:space="0"/>
              <w:bottom w:val="single" w:color="000000" w:sz="4" w:space="0"/>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万元</w:t>
            </w:r>
            <w:r>
              <w:rPr>
                <w:rFonts w:eastAsia="宋体"/>
                <w:color w:val="000000"/>
                <w:kern w:val="0"/>
                <w:sz w:val="21"/>
                <w:szCs w:val="21"/>
              </w:rPr>
              <w:t>GDP</w:t>
            </w:r>
            <w:r>
              <w:rPr>
                <w:rFonts w:hint="eastAsia" w:eastAsia="宋体"/>
                <w:color w:val="000000"/>
                <w:kern w:val="0"/>
                <w:sz w:val="21"/>
                <w:szCs w:val="21"/>
              </w:rPr>
              <w:t>用水量</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52.4m³</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8</w:t>
            </w:r>
          </w:p>
        </w:tc>
        <w:tc>
          <w:tcPr>
            <w:tcW w:w="1087" w:type="dxa"/>
            <w:vMerge w:val="continue"/>
            <w:tcBorders>
              <w:top w:val="nil"/>
              <w:left w:val="single" w:color="auto" w:sz="4" w:space="0"/>
              <w:bottom w:val="single" w:color="000000" w:sz="4" w:space="0"/>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万元工业增加值用水量</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11m³</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约束性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9</w:t>
            </w:r>
          </w:p>
        </w:tc>
        <w:tc>
          <w:tcPr>
            <w:tcW w:w="1087" w:type="dxa"/>
            <w:vMerge w:val="continue"/>
            <w:tcBorders>
              <w:top w:val="nil"/>
              <w:left w:val="single" w:color="auto" w:sz="4" w:space="0"/>
              <w:bottom w:val="single" w:color="000000" w:sz="4" w:space="0"/>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灌溉水利用系数</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0.635</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11</w:t>
            </w:r>
          </w:p>
        </w:tc>
        <w:tc>
          <w:tcPr>
            <w:tcW w:w="1087" w:type="dxa"/>
            <w:vMerge w:val="restart"/>
            <w:tcBorders>
              <w:top w:val="nil"/>
              <w:left w:val="single" w:color="auto" w:sz="4" w:space="0"/>
              <w:bottom w:val="single" w:color="000000"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生态水利</w:t>
            </w: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集中式饮用水源地水质达标率</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100%</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约束性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12</w:t>
            </w:r>
          </w:p>
        </w:tc>
        <w:tc>
          <w:tcPr>
            <w:tcW w:w="1087" w:type="dxa"/>
            <w:vMerge w:val="continue"/>
            <w:tcBorders>
              <w:top w:val="nil"/>
              <w:left w:val="single" w:color="auto" w:sz="4" w:space="0"/>
              <w:bottom w:val="single" w:color="000000" w:sz="4" w:space="0"/>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重点水功能区水质达标率</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90%</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13</w:t>
            </w:r>
          </w:p>
        </w:tc>
        <w:tc>
          <w:tcPr>
            <w:tcW w:w="1087" w:type="dxa"/>
            <w:vMerge w:val="continue"/>
            <w:tcBorders>
              <w:top w:val="nil"/>
              <w:left w:val="single" w:color="auto" w:sz="4" w:space="0"/>
              <w:bottom w:val="single" w:color="000000" w:sz="4" w:space="0"/>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水域面积率</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不降低</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14</w:t>
            </w:r>
          </w:p>
        </w:tc>
        <w:tc>
          <w:tcPr>
            <w:tcW w:w="1087" w:type="dxa"/>
            <w:vMerge w:val="continue"/>
            <w:tcBorders>
              <w:top w:val="nil"/>
              <w:left w:val="single" w:color="auto" w:sz="4" w:space="0"/>
              <w:bottom w:val="single" w:color="000000" w:sz="4" w:space="0"/>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水土流失治理面积</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11.03km²</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15</w:t>
            </w:r>
          </w:p>
        </w:tc>
        <w:tc>
          <w:tcPr>
            <w:tcW w:w="1087" w:type="dxa"/>
            <w:vMerge w:val="restart"/>
            <w:tcBorders>
              <w:top w:val="nil"/>
              <w:left w:val="single" w:color="auto" w:sz="4" w:space="0"/>
              <w:bottom w:val="nil"/>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农村水利</w:t>
            </w: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有效灌溉面积率</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93%</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16</w:t>
            </w:r>
          </w:p>
        </w:tc>
        <w:tc>
          <w:tcPr>
            <w:tcW w:w="1087" w:type="dxa"/>
            <w:vMerge w:val="continue"/>
            <w:tcBorders>
              <w:top w:val="nil"/>
              <w:left w:val="single" w:color="auto" w:sz="4" w:space="0"/>
              <w:bottom w:val="nil"/>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旱涝保收田面积率</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88%</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17</w:t>
            </w:r>
          </w:p>
        </w:tc>
        <w:tc>
          <w:tcPr>
            <w:tcW w:w="1087" w:type="dxa"/>
            <w:vMerge w:val="continue"/>
            <w:tcBorders>
              <w:top w:val="nil"/>
              <w:left w:val="single" w:color="auto" w:sz="4" w:space="0"/>
              <w:bottom w:val="nil"/>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节水灌溉工程面积率</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60%</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18</w:t>
            </w:r>
          </w:p>
        </w:tc>
        <w:tc>
          <w:tcPr>
            <w:tcW w:w="1087" w:type="dxa"/>
            <w:vMerge w:val="restart"/>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水管理</w:t>
            </w: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水资源管理达标率</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95%</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19</w:t>
            </w: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河湖管理达标率</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95%</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20</w:t>
            </w: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水利工程管理达标率</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95%</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21</w:t>
            </w:r>
          </w:p>
        </w:tc>
        <w:tc>
          <w:tcPr>
            <w:tcW w:w="1087" w:type="dxa"/>
            <w:vMerge w:val="restart"/>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发展保障</w:t>
            </w: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水事违法案件查结率</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95%</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约束性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22</w:t>
            </w:r>
          </w:p>
        </w:tc>
        <w:tc>
          <w:tcPr>
            <w:tcW w:w="1087" w:type="dxa"/>
            <w:vMerge w:val="continue"/>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水利投入政策到位率</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90%</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r>
        <w:tblPrEx>
          <w:tblLayout w:type="fixed"/>
          <w:tblCellMar>
            <w:top w:w="0" w:type="dxa"/>
            <w:left w:w="108" w:type="dxa"/>
            <w:bottom w:w="0" w:type="dxa"/>
            <w:right w:w="108" w:type="dxa"/>
          </w:tblCellMar>
        </w:tblPrEx>
        <w:trPr>
          <w:trHeight w:val="20" w:hRule="atLeast"/>
          <w:tblHeader/>
          <w:jc w:val="center"/>
        </w:trPr>
        <w:tc>
          <w:tcPr>
            <w:tcW w:w="801" w:type="dxa"/>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23</w:t>
            </w:r>
          </w:p>
        </w:tc>
        <w:tc>
          <w:tcPr>
            <w:tcW w:w="1087" w:type="dxa"/>
            <w:vMerge w:val="continue"/>
            <w:tcBorders>
              <w:top w:val="nil"/>
              <w:left w:val="single" w:color="auto" w:sz="4" w:space="0"/>
              <w:bottom w:val="single" w:color="auto" w:sz="4" w:space="0"/>
              <w:right w:val="single" w:color="auto" w:sz="4" w:space="0"/>
            </w:tcBorders>
            <w:vAlign w:val="center"/>
          </w:tcPr>
          <w:p>
            <w:pPr>
              <w:widowControl/>
              <w:snapToGrid/>
              <w:spacing w:line="240" w:lineRule="auto"/>
              <w:ind w:firstLine="0" w:firstLineChars="0"/>
              <w:jc w:val="left"/>
              <w:rPr>
                <w:rFonts w:eastAsia="宋体"/>
                <w:color w:val="000000"/>
                <w:kern w:val="0"/>
                <w:sz w:val="21"/>
                <w:szCs w:val="21"/>
              </w:rPr>
            </w:pPr>
          </w:p>
        </w:tc>
        <w:tc>
          <w:tcPr>
            <w:tcW w:w="2476"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人才结构达标率</w:t>
            </w:r>
          </w:p>
        </w:tc>
        <w:tc>
          <w:tcPr>
            <w:tcW w:w="334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eastAsia="宋体"/>
                <w:color w:val="000000"/>
                <w:kern w:val="0"/>
                <w:sz w:val="21"/>
                <w:szCs w:val="21"/>
              </w:rPr>
              <w:t>90%</w:t>
            </w:r>
          </w:p>
        </w:tc>
        <w:tc>
          <w:tcPr>
            <w:tcW w:w="1019" w:type="dxa"/>
            <w:tcBorders>
              <w:top w:val="nil"/>
              <w:left w:val="nil"/>
              <w:bottom w:val="single" w:color="auto" w:sz="4" w:space="0"/>
              <w:right w:val="single" w:color="auto" w:sz="4" w:space="0"/>
            </w:tcBorders>
            <w:vAlign w:val="center"/>
          </w:tcPr>
          <w:p>
            <w:pPr>
              <w:widowControl/>
              <w:snapToGrid/>
              <w:spacing w:line="240" w:lineRule="auto"/>
              <w:ind w:firstLine="0" w:firstLineChars="0"/>
              <w:jc w:val="center"/>
              <w:rPr>
                <w:rFonts w:eastAsia="宋体"/>
                <w:color w:val="000000"/>
                <w:kern w:val="0"/>
                <w:sz w:val="21"/>
                <w:szCs w:val="21"/>
              </w:rPr>
            </w:pPr>
            <w:r>
              <w:rPr>
                <w:rFonts w:hint="eastAsia" w:eastAsia="宋体"/>
                <w:color w:val="000000"/>
                <w:kern w:val="0"/>
                <w:sz w:val="21"/>
                <w:szCs w:val="21"/>
              </w:rPr>
              <w:t>预期性</w:t>
            </w:r>
          </w:p>
        </w:tc>
      </w:tr>
    </w:tbl>
    <w:p>
      <w:pPr>
        <w:ind w:firstLine="31680"/>
        <w:rPr>
          <w:color w:val="000000"/>
        </w:rPr>
        <w:sectPr>
          <w:footerReference r:id="rId15" w:type="default"/>
          <w:pgSz w:w="11906" w:h="16838"/>
          <w:pgMar w:top="1440" w:right="1800" w:bottom="1440" w:left="1800" w:header="851" w:footer="992" w:gutter="0"/>
          <w:pgNumType w:start="1"/>
          <w:cols w:space="425" w:num="1"/>
          <w:rtlGutter w:val="1"/>
          <w:docGrid w:type="lines" w:linePitch="312" w:charSpace="0"/>
        </w:sectPr>
      </w:pPr>
    </w:p>
    <w:p>
      <w:pPr>
        <w:pStyle w:val="2"/>
        <w:pageBreakBefore/>
        <w:ind w:firstLine="0" w:firstLineChars="0"/>
        <w:jc w:val="center"/>
        <w:rPr>
          <w:rFonts w:eastAsia="仿宋"/>
          <w:color w:val="000000"/>
          <w:sz w:val="28"/>
          <w:szCs w:val="40"/>
        </w:rPr>
      </w:pPr>
      <w:bookmarkStart w:id="81" w:name="_Toc41928850"/>
      <w:r>
        <w:rPr>
          <w:rFonts w:hint="eastAsia" w:eastAsia="仿宋"/>
          <w:color w:val="000000"/>
          <w:sz w:val="28"/>
          <w:szCs w:val="40"/>
        </w:rPr>
        <w:t>附件</w:t>
      </w:r>
      <w:r>
        <w:rPr>
          <w:rFonts w:eastAsia="仿宋"/>
          <w:color w:val="000000"/>
          <w:sz w:val="28"/>
          <w:szCs w:val="40"/>
        </w:rPr>
        <w:t xml:space="preserve">2  </w:t>
      </w:r>
      <w:r>
        <w:rPr>
          <w:rFonts w:hint="eastAsia" w:eastAsia="仿宋"/>
          <w:color w:val="000000"/>
          <w:sz w:val="28"/>
          <w:szCs w:val="40"/>
        </w:rPr>
        <w:t>泰州市</w:t>
      </w:r>
      <w:r>
        <w:rPr>
          <w:rFonts w:eastAsia="仿宋"/>
          <w:color w:val="000000"/>
          <w:sz w:val="28"/>
          <w:szCs w:val="40"/>
        </w:rPr>
        <w:t>2021-2025</w:t>
      </w:r>
      <w:r>
        <w:rPr>
          <w:rFonts w:hint="eastAsia" w:eastAsia="仿宋"/>
          <w:color w:val="000000"/>
          <w:sz w:val="28"/>
          <w:szCs w:val="40"/>
        </w:rPr>
        <w:t>年水利发展重点工程项目表</w:t>
      </w:r>
      <w:bookmarkEnd w:id="81"/>
    </w:p>
    <w:tbl>
      <w:tblPr>
        <w:tblStyle w:val="28"/>
        <w:tblW w:w="14543" w:type="dxa"/>
        <w:jc w:val="center"/>
        <w:tblInd w:w="0" w:type="dxa"/>
        <w:tblLayout w:type="fixed"/>
        <w:tblCellMar>
          <w:top w:w="0" w:type="dxa"/>
          <w:left w:w="108" w:type="dxa"/>
          <w:bottom w:w="0" w:type="dxa"/>
          <w:right w:w="108" w:type="dxa"/>
        </w:tblCellMar>
      </w:tblPr>
      <w:tblGrid>
        <w:gridCol w:w="954"/>
        <w:gridCol w:w="2497"/>
        <w:gridCol w:w="4946"/>
        <w:gridCol w:w="1098"/>
        <w:gridCol w:w="1158"/>
        <w:gridCol w:w="1565"/>
        <w:gridCol w:w="1098"/>
        <w:gridCol w:w="1227"/>
      </w:tblGrid>
      <w:tr>
        <w:tblPrEx>
          <w:tblLayout w:type="fixed"/>
          <w:tblCellMar>
            <w:top w:w="0" w:type="dxa"/>
            <w:left w:w="108" w:type="dxa"/>
            <w:bottom w:w="0" w:type="dxa"/>
            <w:right w:w="108" w:type="dxa"/>
          </w:tblCellMar>
        </w:tblPrEx>
        <w:trPr>
          <w:trHeight w:val="427" w:hRule="atLeast"/>
          <w:tblHeader/>
          <w:jc w:val="center"/>
        </w:trPr>
        <w:tc>
          <w:tcPr>
            <w:tcW w:w="954" w:type="dxa"/>
            <w:vMerge w:val="restart"/>
            <w:tcBorders>
              <w:top w:val="single" w:color="auto" w:sz="4" w:space="0"/>
              <w:left w:val="single" w:color="auto" w:sz="4" w:space="0"/>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序号</w:t>
            </w:r>
          </w:p>
        </w:tc>
        <w:tc>
          <w:tcPr>
            <w:tcW w:w="2497" w:type="dxa"/>
            <w:vMerge w:val="restart"/>
            <w:tcBorders>
              <w:top w:val="single" w:color="auto" w:sz="4" w:space="0"/>
              <w:left w:val="single" w:color="auto" w:sz="4" w:space="0"/>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工程名称</w:t>
            </w:r>
          </w:p>
        </w:tc>
        <w:tc>
          <w:tcPr>
            <w:tcW w:w="4946" w:type="dxa"/>
            <w:vMerge w:val="restart"/>
            <w:tcBorders>
              <w:top w:val="single" w:color="auto" w:sz="4" w:space="0"/>
              <w:left w:val="single" w:color="auto" w:sz="4" w:space="0"/>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主要建设内容</w:t>
            </w:r>
          </w:p>
        </w:tc>
        <w:tc>
          <w:tcPr>
            <w:tcW w:w="2256" w:type="dxa"/>
            <w:gridSpan w:val="2"/>
            <w:tcBorders>
              <w:top w:val="single" w:color="auto" w:sz="4" w:space="0"/>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工程投资（万元）</w:t>
            </w:r>
          </w:p>
        </w:tc>
        <w:tc>
          <w:tcPr>
            <w:tcW w:w="3890" w:type="dxa"/>
            <w:gridSpan w:val="3"/>
            <w:tcBorders>
              <w:top w:val="single" w:color="auto" w:sz="4" w:space="0"/>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实施计划（万元）</w:t>
            </w:r>
          </w:p>
        </w:tc>
      </w:tr>
      <w:tr>
        <w:tblPrEx>
          <w:tblLayout w:type="fixed"/>
          <w:tblCellMar>
            <w:top w:w="0" w:type="dxa"/>
            <w:left w:w="108" w:type="dxa"/>
            <w:bottom w:w="0" w:type="dxa"/>
            <w:right w:w="108" w:type="dxa"/>
          </w:tblCellMar>
        </w:tblPrEx>
        <w:trPr>
          <w:trHeight w:val="645" w:hRule="atLeast"/>
          <w:tblHeader/>
          <w:jc w:val="center"/>
        </w:trPr>
        <w:tc>
          <w:tcPr>
            <w:tcW w:w="954" w:type="dxa"/>
            <w:vMerge w:val="continue"/>
            <w:tcBorders>
              <w:top w:val="single" w:color="auto" w:sz="4" w:space="0"/>
              <w:left w:val="single" w:color="auto" w:sz="4" w:space="0"/>
              <w:bottom w:val="single" w:color="auto" w:sz="4" w:space="0"/>
              <w:right w:val="single" w:color="auto" w:sz="4" w:space="0"/>
            </w:tcBorders>
            <w:vAlign w:val="center"/>
          </w:tcPr>
          <w:p>
            <w:pPr>
              <w:pStyle w:val="36"/>
              <w:jc w:val="center"/>
              <w:rPr>
                <w:rFonts w:eastAsia="等线"/>
                <w:sz w:val="22"/>
                <w:szCs w:val="18"/>
              </w:rPr>
            </w:pPr>
          </w:p>
        </w:tc>
        <w:tc>
          <w:tcPr>
            <w:tcW w:w="2497" w:type="dxa"/>
            <w:vMerge w:val="continue"/>
            <w:tcBorders>
              <w:top w:val="single" w:color="auto" w:sz="4" w:space="0"/>
              <w:left w:val="single" w:color="auto" w:sz="4" w:space="0"/>
              <w:bottom w:val="single" w:color="auto" w:sz="4" w:space="0"/>
              <w:right w:val="single" w:color="auto" w:sz="4" w:space="0"/>
            </w:tcBorders>
            <w:vAlign w:val="center"/>
          </w:tcPr>
          <w:p>
            <w:pPr>
              <w:pStyle w:val="36"/>
              <w:jc w:val="center"/>
              <w:rPr>
                <w:rFonts w:eastAsia="等线"/>
                <w:sz w:val="22"/>
                <w:szCs w:val="18"/>
              </w:rPr>
            </w:pPr>
          </w:p>
        </w:tc>
        <w:tc>
          <w:tcPr>
            <w:tcW w:w="4946" w:type="dxa"/>
            <w:vMerge w:val="continue"/>
            <w:tcBorders>
              <w:top w:val="single" w:color="auto" w:sz="4" w:space="0"/>
              <w:left w:val="single" w:color="auto" w:sz="4" w:space="0"/>
              <w:bottom w:val="single" w:color="auto" w:sz="4" w:space="0"/>
              <w:right w:val="single" w:color="auto" w:sz="4" w:space="0"/>
            </w:tcBorders>
            <w:vAlign w:val="center"/>
          </w:tcPr>
          <w:p>
            <w:pPr>
              <w:pStyle w:val="36"/>
              <w:jc w:val="center"/>
              <w:rPr>
                <w:rFonts w:cs="宋体"/>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总投资</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要求省级以上投资</w:t>
            </w: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预计至</w:t>
            </w:r>
            <w:r>
              <w:rPr>
                <w:rFonts w:eastAsia="等线"/>
                <w:sz w:val="22"/>
                <w:szCs w:val="18"/>
              </w:rPr>
              <w:t>2020</w:t>
            </w:r>
            <w:r>
              <w:rPr>
                <w:rFonts w:hint="eastAsia"/>
                <w:sz w:val="22"/>
                <w:szCs w:val="18"/>
              </w:rPr>
              <w:t>年底完成投资</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十四五投资</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w:t>
            </w:r>
            <w:r>
              <w:rPr>
                <w:rFonts w:hint="eastAsia"/>
                <w:sz w:val="22"/>
                <w:szCs w:val="18"/>
              </w:rPr>
              <w:t>十四五</w:t>
            </w:r>
            <w:r>
              <w:rPr>
                <w:rFonts w:eastAsia="等线"/>
                <w:sz w:val="22"/>
                <w:szCs w:val="18"/>
              </w:rPr>
              <w:t>”</w:t>
            </w:r>
            <w:r>
              <w:rPr>
                <w:rFonts w:hint="eastAsia"/>
                <w:sz w:val="22"/>
                <w:szCs w:val="18"/>
              </w:rPr>
              <w:t>结转投资</w:t>
            </w:r>
          </w:p>
        </w:tc>
      </w:tr>
      <w:tr>
        <w:tblPrEx>
          <w:tblLayout w:type="fixed"/>
          <w:tblCellMar>
            <w:top w:w="0" w:type="dxa"/>
            <w:left w:w="108" w:type="dxa"/>
            <w:bottom w:w="0" w:type="dxa"/>
            <w:right w:w="108" w:type="dxa"/>
          </w:tblCellMar>
        </w:tblPrEx>
        <w:trPr>
          <w:trHeight w:val="340" w:hRule="atLeast"/>
          <w:jc w:val="center"/>
        </w:trPr>
        <w:tc>
          <w:tcPr>
            <w:tcW w:w="8397" w:type="dxa"/>
            <w:gridSpan w:val="3"/>
            <w:tcBorders>
              <w:top w:val="nil"/>
              <w:left w:val="single" w:color="auto" w:sz="4" w:space="0"/>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合计</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22"/>
              </w:rPr>
              <w:t>1777463</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22"/>
              </w:rPr>
              <w:t>371353</w:t>
            </w: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22"/>
              </w:rPr>
              <w:t>47869</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22"/>
              </w:rPr>
              <w:t>1729594</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b/>
                <w:bCs/>
                <w:sz w:val="22"/>
                <w:szCs w:val="18"/>
              </w:rPr>
            </w:pPr>
            <w:r>
              <w:rPr>
                <w:rFonts w:hint="eastAsia" w:cs="宋体"/>
                <w:b/>
                <w:bCs/>
                <w:sz w:val="22"/>
                <w:szCs w:val="18"/>
              </w:rPr>
              <w:t>一</w:t>
            </w:r>
          </w:p>
        </w:tc>
        <w:tc>
          <w:tcPr>
            <w:tcW w:w="2497" w:type="dxa"/>
            <w:tcBorders>
              <w:top w:val="nil"/>
              <w:left w:val="nil"/>
              <w:bottom w:val="single" w:color="auto" w:sz="4" w:space="0"/>
              <w:right w:val="single" w:color="auto" w:sz="4" w:space="0"/>
            </w:tcBorders>
            <w:vAlign w:val="center"/>
          </w:tcPr>
          <w:p>
            <w:pPr>
              <w:pStyle w:val="36"/>
              <w:jc w:val="center"/>
              <w:rPr>
                <w:rFonts w:cs="宋体"/>
                <w:b/>
                <w:bCs/>
                <w:sz w:val="22"/>
                <w:szCs w:val="18"/>
              </w:rPr>
            </w:pPr>
            <w:r>
              <w:rPr>
                <w:rFonts w:hint="eastAsia" w:cs="宋体"/>
                <w:b/>
                <w:bCs/>
                <w:sz w:val="22"/>
                <w:szCs w:val="18"/>
              </w:rPr>
              <w:t>安全水利工程</w:t>
            </w:r>
          </w:p>
        </w:tc>
        <w:tc>
          <w:tcPr>
            <w:tcW w:w="4946" w:type="dxa"/>
            <w:tcBorders>
              <w:top w:val="nil"/>
              <w:left w:val="nil"/>
              <w:bottom w:val="single" w:color="auto" w:sz="4" w:space="0"/>
              <w:right w:val="single" w:color="auto" w:sz="4" w:space="0"/>
            </w:tcBorders>
            <w:vAlign w:val="center"/>
          </w:tcPr>
          <w:p>
            <w:pPr>
              <w:pStyle w:val="36"/>
              <w:jc w:val="center"/>
              <w:rPr>
                <w:rFonts w:eastAsia="等线"/>
                <w:b/>
                <w:bCs/>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b/>
                <w:bCs/>
                <w:sz w:val="22"/>
                <w:szCs w:val="18"/>
              </w:rPr>
            </w:pPr>
            <w:r>
              <w:rPr>
                <w:rFonts w:eastAsia="等线"/>
                <w:b/>
                <w:bCs/>
                <w:sz w:val="22"/>
                <w:szCs w:val="22"/>
              </w:rPr>
              <w:t>36869</w:t>
            </w:r>
          </w:p>
        </w:tc>
        <w:tc>
          <w:tcPr>
            <w:tcW w:w="1158" w:type="dxa"/>
            <w:tcBorders>
              <w:top w:val="nil"/>
              <w:left w:val="nil"/>
              <w:bottom w:val="single" w:color="auto" w:sz="4" w:space="0"/>
              <w:right w:val="single" w:color="auto" w:sz="4" w:space="0"/>
            </w:tcBorders>
            <w:vAlign w:val="center"/>
          </w:tcPr>
          <w:p>
            <w:pPr>
              <w:pStyle w:val="36"/>
              <w:jc w:val="center"/>
              <w:rPr>
                <w:rFonts w:eastAsia="等线"/>
                <w:b/>
                <w:bCs/>
                <w:sz w:val="22"/>
                <w:szCs w:val="18"/>
              </w:rPr>
            </w:pPr>
            <w:r>
              <w:rPr>
                <w:rFonts w:eastAsia="等线"/>
                <w:b/>
                <w:bCs/>
                <w:sz w:val="22"/>
                <w:szCs w:val="22"/>
              </w:rPr>
              <w:t>1077578</w:t>
            </w:r>
          </w:p>
        </w:tc>
        <w:tc>
          <w:tcPr>
            <w:tcW w:w="1565" w:type="dxa"/>
            <w:tcBorders>
              <w:top w:val="nil"/>
              <w:left w:val="nil"/>
              <w:bottom w:val="single" w:color="auto" w:sz="4" w:space="0"/>
              <w:right w:val="single" w:color="auto" w:sz="4" w:space="0"/>
            </w:tcBorders>
            <w:vAlign w:val="center"/>
          </w:tcPr>
          <w:p>
            <w:pPr>
              <w:pStyle w:val="36"/>
              <w:jc w:val="center"/>
              <w:rPr>
                <w:rFonts w:eastAsia="等线"/>
                <w:b/>
                <w:bCs/>
                <w:sz w:val="22"/>
                <w:szCs w:val="18"/>
              </w:rPr>
            </w:pPr>
            <w:r>
              <w:rPr>
                <w:rFonts w:eastAsia="等线"/>
                <w:b/>
                <w:bCs/>
                <w:sz w:val="22"/>
                <w:szCs w:val="18"/>
              </w:rPr>
              <w:t>36869</w:t>
            </w:r>
          </w:p>
        </w:tc>
        <w:tc>
          <w:tcPr>
            <w:tcW w:w="1098" w:type="dxa"/>
            <w:tcBorders>
              <w:top w:val="nil"/>
              <w:left w:val="nil"/>
              <w:bottom w:val="single" w:color="auto" w:sz="4" w:space="0"/>
              <w:right w:val="single" w:color="auto" w:sz="4" w:space="0"/>
            </w:tcBorders>
            <w:vAlign w:val="center"/>
          </w:tcPr>
          <w:p>
            <w:pPr>
              <w:pStyle w:val="36"/>
              <w:jc w:val="center"/>
              <w:rPr>
                <w:rFonts w:eastAsia="等线"/>
                <w:b/>
                <w:bCs/>
                <w:sz w:val="22"/>
                <w:szCs w:val="18"/>
              </w:rPr>
            </w:pPr>
            <w:r>
              <w:rPr>
                <w:rFonts w:eastAsia="等线"/>
                <w:b/>
                <w:bCs/>
                <w:sz w:val="22"/>
                <w:szCs w:val="18"/>
              </w:rPr>
              <w:t>1073578</w:t>
            </w:r>
          </w:p>
        </w:tc>
        <w:tc>
          <w:tcPr>
            <w:tcW w:w="1227" w:type="dxa"/>
            <w:tcBorders>
              <w:top w:val="nil"/>
              <w:left w:val="nil"/>
              <w:bottom w:val="single" w:color="auto" w:sz="4" w:space="0"/>
              <w:right w:val="single" w:color="auto" w:sz="4" w:space="0"/>
            </w:tcBorders>
            <w:vAlign w:val="center"/>
          </w:tcPr>
          <w:p>
            <w:pPr>
              <w:pStyle w:val="36"/>
              <w:jc w:val="center"/>
              <w:rPr>
                <w:rFonts w:eastAsia="等线"/>
                <w:b/>
                <w:bCs/>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（一）</w:t>
            </w:r>
          </w:p>
        </w:tc>
        <w:tc>
          <w:tcPr>
            <w:tcW w:w="2497"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流域防洪工程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22"/>
              </w:rPr>
              <w:t>32869</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22"/>
              </w:rPr>
              <w:t>182678</w:t>
            </w: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32869</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178678</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cs="宋体"/>
                <w:sz w:val="22"/>
                <w:szCs w:val="18"/>
              </w:rPr>
              <w:t>1</w:t>
            </w:r>
          </w:p>
        </w:tc>
        <w:tc>
          <w:tcPr>
            <w:tcW w:w="2497"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淮河平原洼地治理泰州市境内工程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整治下官河等</w:t>
            </w:r>
            <w:r>
              <w:rPr>
                <w:rFonts w:eastAsia="等线"/>
                <w:sz w:val="22"/>
                <w:szCs w:val="18"/>
              </w:rPr>
              <w:t>3</w:t>
            </w:r>
            <w:r>
              <w:rPr>
                <w:rFonts w:hint="eastAsia"/>
                <w:sz w:val="22"/>
                <w:szCs w:val="18"/>
              </w:rPr>
              <w:t>条河道</w:t>
            </w:r>
            <w:r>
              <w:rPr>
                <w:rFonts w:eastAsia="等线"/>
                <w:sz w:val="22"/>
                <w:szCs w:val="18"/>
              </w:rPr>
              <w:t>31km</w:t>
            </w:r>
            <w:r>
              <w:rPr>
                <w:rFonts w:hint="eastAsia"/>
                <w:sz w:val="22"/>
                <w:szCs w:val="18"/>
              </w:rPr>
              <w:t>，拆建跨河桥梁</w:t>
            </w:r>
            <w:r>
              <w:rPr>
                <w:rFonts w:eastAsia="等线"/>
                <w:sz w:val="22"/>
                <w:szCs w:val="18"/>
              </w:rPr>
              <w:t>5</w:t>
            </w:r>
            <w:r>
              <w:rPr>
                <w:rFonts w:hint="eastAsia"/>
                <w:sz w:val="22"/>
                <w:szCs w:val="18"/>
              </w:rPr>
              <w:t>座和沿线建筑物，拆建和加固</w:t>
            </w:r>
            <w:r>
              <w:rPr>
                <w:rFonts w:eastAsia="等线"/>
                <w:sz w:val="22"/>
                <w:szCs w:val="18"/>
              </w:rPr>
              <w:t>328</w:t>
            </w:r>
            <w:r>
              <w:rPr>
                <w:rFonts w:hint="eastAsia"/>
                <w:sz w:val="22"/>
                <w:szCs w:val="18"/>
              </w:rPr>
              <w:t>国道沿线</w:t>
            </w:r>
            <w:r>
              <w:rPr>
                <w:rFonts w:eastAsia="等线"/>
                <w:sz w:val="22"/>
                <w:szCs w:val="18"/>
              </w:rPr>
              <w:t>4</w:t>
            </w:r>
            <w:r>
              <w:rPr>
                <w:rFonts w:hint="eastAsia"/>
                <w:sz w:val="22"/>
                <w:szCs w:val="18"/>
              </w:rPr>
              <w:t>座病险涵闸</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75747</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65853</w:t>
            </w: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32069</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43678</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cs="宋体"/>
                <w:sz w:val="22"/>
                <w:szCs w:val="18"/>
              </w:rPr>
              <w:t>2</w:t>
            </w:r>
          </w:p>
        </w:tc>
        <w:tc>
          <w:tcPr>
            <w:tcW w:w="249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长江防洪能力提升堤防加固工程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加固主江堤</w:t>
            </w:r>
            <w:r>
              <w:rPr>
                <w:rFonts w:eastAsia="等线"/>
                <w:sz w:val="22"/>
                <w:szCs w:val="18"/>
              </w:rPr>
              <w:t>40.4km</w:t>
            </w:r>
            <w:r>
              <w:rPr>
                <w:rFonts w:hint="eastAsia"/>
                <w:sz w:val="22"/>
                <w:szCs w:val="18"/>
              </w:rPr>
              <w:t>、港堤</w:t>
            </w:r>
            <w:r>
              <w:rPr>
                <w:rFonts w:eastAsia="等线"/>
                <w:sz w:val="22"/>
                <w:szCs w:val="18"/>
              </w:rPr>
              <w:t>10.3km</w:t>
            </w:r>
            <w:r>
              <w:rPr>
                <w:rFonts w:hint="eastAsia"/>
                <w:sz w:val="22"/>
                <w:szCs w:val="18"/>
              </w:rPr>
              <w:t>，除险加固建筑物</w:t>
            </w:r>
            <w:r>
              <w:rPr>
                <w:rFonts w:eastAsia="等线"/>
                <w:sz w:val="22"/>
                <w:szCs w:val="18"/>
              </w:rPr>
              <w:t>26</w:t>
            </w:r>
            <w:r>
              <w:rPr>
                <w:rFonts w:hint="eastAsia"/>
                <w:sz w:val="22"/>
                <w:szCs w:val="18"/>
              </w:rPr>
              <w:t>座</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22"/>
              </w:rPr>
              <w:t>114000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22"/>
              </w:rPr>
              <w:t>19200</w:t>
            </w: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22"/>
              </w:rPr>
              <w:t>800</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22"/>
              </w:rPr>
              <w:t>113200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3</w:t>
            </w:r>
          </w:p>
        </w:tc>
        <w:tc>
          <w:tcPr>
            <w:tcW w:w="249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长江崩岸治理工程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治理嘶马弯道易坍段</w:t>
            </w:r>
            <w:r>
              <w:rPr>
                <w:rFonts w:eastAsia="等线"/>
                <w:sz w:val="22"/>
                <w:szCs w:val="18"/>
              </w:rPr>
              <w:t>3.0km</w:t>
            </w:r>
            <w:r>
              <w:rPr>
                <w:rFonts w:hint="eastAsia"/>
                <w:sz w:val="22"/>
                <w:szCs w:val="18"/>
              </w:rPr>
              <w:t>、北沙易坍段</w:t>
            </w:r>
            <w:r>
              <w:rPr>
                <w:rFonts w:eastAsia="等线"/>
                <w:sz w:val="22"/>
                <w:szCs w:val="18"/>
              </w:rPr>
              <w:t>9.0km</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25800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12900</w:t>
            </w: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25800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（二）</w:t>
            </w:r>
          </w:p>
        </w:tc>
        <w:tc>
          <w:tcPr>
            <w:tcW w:w="249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区域治理工程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620600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227200</w:t>
            </w: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4000</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616600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cs="宋体"/>
                <w:sz w:val="22"/>
                <w:szCs w:val="18"/>
              </w:rPr>
              <w:t>1</w:t>
            </w:r>
          </w:p>
        </w:tc>
        <w:tc>
          <w:tcPr>
            <w:tcW w:w="2497"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泰州市通南地区引排工程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拓浚河道</w:t>
            </w:r>
            <w:r>
              <w:rPr>
                <w:rFonts w:eastAsia="等线"/>
                <w:sz w:val="22"/>
                <w:szCs w:val="18"/>
              </w:rPr>
              <w:t>50.64km</w:t>
            </w:r>
            <w:r>
              <w:rPr>
                <w:rFonts w:hint="eastAsia"/>
                <w:sz w:val="22"/>
                <w:szCs w:val="18"/>
              </w:rPr>
              <w:t>，新建堤防</w:t>
            </w:r>
            <w:r>
              <w:rPr>
                <w:rFonts w:eastAsia="等线"/>
                <w:sz w:val="22"/>
                <w:szCs w:val="18"/>
              </w:rPr>
              <w:t>34.8km</w:t>
            </w:r>
            <w:r>
              <w:rPr>
                <w:rFonts w:hint="eastAsia"/>
                <w:sz w:val="22"/>
                <w:szCs w:val="18"/>
              </w:rPr>
              <w:t>，新建安宁港控制闸</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320000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50000</w:t>
            </w: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320000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cs="宋体"/>
                <w:sz w:val="22"/>
                <w:szCs w:val="18"/>
              </w:rPr>
              <w:t>2</w:t>
            </w:r>
          </w:p>
        </w:tc>
        <w:tc>
          <w:tcPr>
            <w:tcW w:w="2497"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区域骨干河道整治工程</w:t>
            </w:r>
          </w:p>
        </w:tc>
        <w:tc>
          <w:tcPr>
            <w:tcW w:w="4946"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疏浚整治区域骨干河道</w:t>
            </w:r>
            <w:r>
              <w:rPr>
                <w:rFonts w:cs="宋体"/>
                <w:sz w:val="22"/>
                <w:szCs w:val="18"/>
              </w:rPr>
              <w:t>19</w:t>
            </w:r>
            <w:r>
              <w:rPr>
                <w:rFonts w:hint="eastAsia" w:cs="宋体"/>
                <w:sz w:val="22"/>
                <w:szCs w:val="18"/>
              </w:rPr>
              <w:t>条</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237600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157200</w:t>
            </w: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4000</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233600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cs="宋体"/>
                <w:sz w:val="22"/>
                <w:szCs w:val="18"/>
              </w:rPr>
              <w:t>3</w:t>
            </w:r>
          </w:p>
        </w:tc>
        <w:tc>
          <w:tcPr>
            <w:tcW w:w="249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中型泵站改造工程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新建、拆建中型泵站</w:t>
            </w:r>
            <w:r>
              <w:rPr>
                <w:rFonts w:eastAsia="等线"/>
                <w:sz w:val="22"/>
                <w:szCs w:val="18"/>
              </w:rPr>
              <w:t>3</w:t>
            </w:r>
            <w:r>
              <w:rPr>
                <w:rFonts w:hint="eastAsia"/>
                <w:sz w:val="22"/>
                <w:szCs w:val="18"/>
              </w:rPr>
              <w:t>座，新增排涝动力</w:t>
            </w:r>
            <w:r>
              <w:rPr>
                <w:rFonts w:eastAsia="等线"/>
                <w:sz w:val="22"/>
                <w:szCs w:val="18"/>
              </w:rPr>
              <w:t>70m³/s</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63000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20000</w:t>
            </w: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63000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（三）</w:t>
            </w:r>
          </w:p>
        </w:tc>
        <w:tc>
          <w:tcPr>
            <w:tcW w:w="249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城市防洪排涝工程</w:t>
            </w:r>
          </w:p>
        </w:tc>
        <w:tc>
          <w:tcPr>
            <w:tcW w:w="4946"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整治城市河道</w:t>
            </w:r>
            <w:r>
              <w:rPr>
                <w:rFonts w:cs="宋体"/>
                <w:sz w:val="22"/>
                <w:szCs w:val="18"/>
              </w:rPr>
              <w:t>167</w:t>
            </w:r>
            <w:r>
              <w:rPr>
                <w:rFonts w:hint="eastAsia" w:cs="宋体"/>
                <w:sz w:val="22"/>
                <w:szCs w:val="18"/>
              </w:rPr>
              <w:t>条，新建排涝闸站</w:t>
            </w:r>
            <w:r>
              <w:rPr>
                <w:rFonts w:cs="宋体"/>
                <w:sz w:val="22"/>
                <w:szCs w:val="18"/>
              </w:rPr>
              <w:t>27</w:t>
            </w:r>
            <w:r>
              <w:rPr>
                <w:rFonts w:hint="eastAsia" w:cs="宋体"/>
                <w:sz w:val="22"/>
                <w:szCs w:val="18"/>
              </w:rPr>
              <w:t>座</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278300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278300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cs="宋体"/>
                <w:sz w:val="22"/>
                <w:szCs w:val="18"/>
              </w:rPr>
              <w:t>1</w:t>
            </w:r>
          </w:p>
        </w:tc>
        <w:tc>
          <w:tcPr>
            <w:tcW w:w="2497"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市本级城市防洪工程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整治城市河道</w:t>
            </w:r>
            <w:r>
              <w:rPr>
                <w:rFonts w:eastAsia="等线"/>
                <w:sz w:val="22"/>
                <w:szCs w:val="18"/>
              </w:rPr>
              <w:t>57</w:t>
            </w:r>
            <w:r>
              <w:rPr>
                <w:rFonts w:hint="eastAsia"/>
                <w:sz w:val="22"/>
                <w:szCs w:val="18"/>
              </w:rPr>
              <w:t>条，新建排涝闸站</w:t>
            </w:r>
            <w:r>
              <w:rPr>
                <w:rFonts w:eastAsia="等线"/>
                <w:sz w:val="22"/>
                <w:szCs w:val="18"/>
              </w:rPr>
              <w:t>7</w:t>
            </w:r>
            <w:r>
              <w:rPr>
                <w:rFonts w:hint="eastAsia"/>
                <w:sz w:val="22"/>
                <w:szCs w:val="18"/>
              </w:rPr>
              <w:t>座</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165300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165300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cs="宋体"/>
                <w:sz w:val="22"/>
                <w:szCs w:val="18"/>
              </w:rPr>
              <w:t>2</w:t>
            </w:r>
          </w:p>
        </w:tc>
        <w:tc>
          <w:tcPr>
            <w:tcW w:w="2497"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靖江市城市防洪工程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整治城市河道</w:t>
            </w:r>
            <w:r>
              <w:rPr>
                <w:rFonts w:eastAsia="等线"/>
                <w:sz w:val="22"/>
                <w:szCs w:val="18"/>
              </w:rPr>
              <w:t>84</w:t>
            </w:r>
            <w:r>
              <w:rPr>
                <w:rFonts w:hint="eastAsia"/>
                <w:sz w:val="22"/>
                <w:szCs w:val="18"/>
              </w:rPr>
              <w:t>条，新建排涝闸站</w:t>
            </w:r>
            <w:r>
              <w:rPr>
                <w:sz w:val="22"/>
                <w:szCs w:val="18"/>
              </w:rPr>
              <w:t>17</w:t>
            </w:r>
            <w:r>
              <w:rPr>
                <w:rFonts w:hint="eastAsia"/>
                <w:sz w:val="22"/>
                <w:szCs w:val="18"/>
              </w:rPr>
              <w:t>座</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53000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53000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cs="宋体"/>
                <w:sz w:val="22"/>
                <w:szCs w:val="18"/>
              </w:rPr>
              <w:t>3</w:t>
            </w:r>
          </w:p>
        </w:tc>
        <w:tc>
          <w:tcPr>
            <w:tcW w:w="249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泰兴市城市防洪工程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整治城市河道</w:t>
            </w:r>
            <w:r>
              <w:rPr>
                <w:rFonts w:eastAsia="等线"/>
                <w:sz w:val="22"/>
                <w:szCs w:val="18"/>
              </w:rPr>
              <w:t>16</w:t>
            </w:r>
            <w:r>
              <w:rPr>
                <w:rFonts w:hint="eastAsia"/>
                <w:sz w:val="22"/>
                <w:szCs w:val="18"/>
              </w:rPr>
              <w:t>条，新建排涝闸站</w:t>
            </w:r>
            <w:r>
              <w:rPr>
                <w:rFonts w:eastAsia="等线"/>
                <w:sz w:val="22"/>
                <w:szCs w:val="18"/>
              </w:rPr>
              <w:t>3</w:t>
            </w:r>
            <w:r>
              <w:rPr>
                <w:rFonts w:hint="eastAsia"/>
                <w:sz w:val="22"/>
                <w:szCs w:val="18"/>
              </w:rPr>
              <w:t>座</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40000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40000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424"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cs="宋体"/>
                <w:sz w:val="22"/>
                <w:szCs w:val="18"/>
              </w:rPr>
              <w:t>4</w:t>
            </w:r>
          </w:p>
        </w:tc>
        <w:tc>
          <w:tcPr>
            <w:tcW w:w="249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兴化市城市防洪工程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整治城市河道</w:t>
            </w:r>
            <w:r>
              <w:rPr>
                <w:rFonts w:eastAsia="等线"/>
                <w:sz w:val="22"/>
                <w:szCs w:val="18"/>
              </w:rPr>
              <w:t>10</w:t>
            </w:r>
            <w:r>
              <w:rPr>
                <w:rFonts w:hint="eastAsia"/>
                <w:sz w:val="22"/>
                <w:szCs w:val="18"/>
              </w:rPr>
              <w:t>条</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20000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20000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b/>
                <w:bCs/>
                <w:sz w:val="22"/>
                <w:szCs w:val="18"/>
              </w:rPr>
            </w:pPr>
            <w:r>
              <w:rPr>
                <w:rFonts w:hint="eastAsia" w:cs="宋体"/>
                <w:b/>
                <w:bCs/>
                <w:sz w:val="22"/>
                <w:szCs w:val="18"/>
              </w:rPr>
              <w:t>二</w:t>
            </w:r>
          </w:p>
        </w:tc>
        <w:tc>
          <w:tcPr>
            <w:tcW w:w="2497" w:type="dxa"/>
            <w:tcBorders>
              <w:top w:val="nil"/>
              <w:left w:val="nil"/>
              <w:bottom w:val="single" w:color="auto" w:sz="4" w:space="0"/>
              <w:right w:val="single" w:color="auto" w:sz="4" w:space="0"/>
            </w:tcBorders>
            <w:vAlign w:val="center"/>
          </w:tcPr>
          <w:p>
            <w:pPr>
              <w:pStyle w:val="36"/>
              <w:jc w:val="center"/>
              <w:rPr>
                <w:rFonts w:eastAsia="等线"/>
                <w:b/>
                <w:bCs/>
                <w:sz w:val="22"/>
                <w:szCs w:val="18"/>
              </w:rPr>
            </w:pPr>
            <w:r>
              <w:rPr>
                <w:rFonts w:hint="eastAsia"/>
                <w:b/>
                <w:bCs/>
                <w:sz w:val="22"/>
                <w:szCs w:val="18"/>
              </w:rPr>
              <w:t>资源水利工程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90100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5000</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85100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b/>
                <w:bCs/>
                <w:sz w:val="22"/>
                <w:szCs w:val="18"/>
              </w:rPr>
            </w:pPr>
            <w:r>
              <w:rPr>
                <w:rFonts w:hint="eastAsia" w:cs="宋体"/>
                <w:b/>
                <w:bCs/>
                <w:sz w:val="22"/>
                <w:szCs w:val="18"/>
              </w:rPr>
              <w:t>（一）</w:t>
            </w:r>
          </w:p>
        </w:tc>
        <w:tc>
          <w:tcPr>
            <w:tcW w:w="2497" w:type="dxa"/>
            <w:tcBorders>
              <w:top w:val="nil"/>
              <w:left w:val="nil"/>
              <w:bottom w:val="single" w:color="auto" w:sz="4" w:space="0"/>
              <w:right w:val="single" w:color="auto" w:sz="4" w:space="0"/>
            </w:tcBorders>
            <w:vAlign w:val="center"/>
          </w:tcPr>
          <w:p>
            <w:pPr>
              <w:pStyle w:val="36"/>
              <w:jc w:val="center"/>
              <w:rPr>
                <w:rFonts w:eastAsia="等线"/>
                <w:b/>
                <w:bCs/>
                <w:sz w:val="22"/>
                <w:szCs w:val="18"/>
              </w:rPr>
            </w:pPr>
            <w:r>
              <w:rPr>
                <w:rFonts w:hint="eastAsia"/>
                <w:b/>
                <w:bCs/>
                <w:sz w:val="22"/>
                <w:szCs w:val="18"/>
              </w:rPr>
              <w:t>水源地工程</w:t>
            </w:r>
          </w:p>
        </w:tc>
        <w:tc>
          <w:tcPr>
            <w:tcW w:w="4946" w:type="dxa"/>
            <w:tcBorders>
              <w:top w:val="nil"/>
              <w:left w:val="nil"/>
              <w:bottom w:val="single" w:color="auto" w:sz="4" w:space="0"/>
              <w:right w:val="single" w:color="auto" w:sz="4" w:space="0"/>
            </w:tcBorders>
            <w:vAlign w:val="center"/>
          </w:tcPr>
          <w:p>
            <w:pPr>
              <w:pStyle w:val="36"/>
              <w:jc w:val="center"/>
              <w:rPr>
                <w:rFonts w:eastAsia="等线"/>
                <w:b/>
                <w:bCs/>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b/>
                <w:bCs/>
                <w:sz w:val="22"/>
                <w:szCs w:val="18"/>
              </w:rPr>
            </w:pPr>
            <w:r>
              <w:rPr>
                <w:rFonts w:eastAsia="等线"/>
                <w:b/>
                <w:bCs/>
                <w:sz w:val="22"/>
                <w:szCs w:val="18"/>
              </w:rPr>
              <w:t>33500</w:t>
            </w:r>
          </w:p>
        </w:tc>
        <w:tc>
          <w:tcPr>
            <w:tcW w:w="1158" w:type="dxa"/>
            <w:tcBorders>
              <w:top w:val="nil"/>
              <w:left w:val="nil"/>
              <w:bottom w:val="single" w:color="auto" w:sz="4" w:space="0"/>
              <w:right w:val="single" w:color="auto" w:sz="4" w:space="0"/>
            </w:tcBorders>
            <w:vAlign w:val="center"/>
          </w:tcPr>
          <w:p>
            <w:pPr>
              <w:pStyle w:val="36"/>
              <w:jc w:val="center"/>
              <w:rPr>
                <w:rFonts w:eastAsia="等线"/>
                <w:b/>
                <w:bCs/>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b/>
                <w:bCs/>
                <w:sz w:val="22"/>
                <w:szCs w:val="18"/>
              </w:rPr>
            </w:pPr>
            <w:r>
              <w:rPr>
                <w:rFonts w:eastAsia="等线"/>
                <w:b/>
                <w:bCs/>
                <w:sz w:val="22"/>
                <w:szCs w:val="18"/>
              </w:rPr>
              <w:t>5000</w:t>
            </w:r>
          </w:p>
        </w:tc>
        <w:tc>
          <w:tcPr>
            <w:tcW w:w="1098" w:type="dxa"/>
            <w:tcBorders>
              <w:top w:val="nil"/>
              <w:left w:val="nil"/>
              <w:bottom w:val="single" w:color="auto" w:sz="4" w:space="0"/>
              <w:right w:val="single" w:color="auto" w:sz="4" w:space="0"/>
            </w:tcBorders>
            <w:vAlign w:val="center"/>
          </w:tcPr>
          <w:p>
            <w:pPr>
              <w:pStyle w:val="36"/>
              <w:jc w:val="center"/>
              <w:rPr>
                <w:rFonts w:eastAsia="等线"/>
                <w:b/>
                <w:bCs/>
                <w:sz w:val="22"/>
                <w:szCs w:val="18"/>
              </w:rPr>
            </w:pPr>
            <w:r>
              <w:rPr>
                <w:rFonts w:eastAsia="等线"/>
                <w:b/>
                <w:bCs/>
                <w:sz w:val="22"/>
                <w:szCs w:val="18"/>
              </w:rPr>
              <w:t>28500</w:t>
            </w:r>
          </w:p>
        </w:tc>
        <w:tc>
          <w:tcPr>
            <w:tcW w:w="1227" w:type="dxa"/>
            <w:tcBorders>
              <w:top w:val="nil"/>
              <w:left w:val="nil"/>
              <w:bottom w:val="single" w:color="auto" w:sz="4" w:space="0"/>
              <w:right w:val="single" w:color="auto" w:sz="4" w:space="0"/>
            </w:tcBorders>
            <w:vAlign w:val="center"/>
          </w:tcPr>
          <w:p>
            <w:pPr>
              <w:pStyle w:val="36"/>
              <w:jc w:val="center"/>
              <w:rPr>
                <w:rFonts w:eastAsia="等线"/>
                <w:b/>
                <w:bCs/>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cs="宋体"/>
                <w:sz w:val="22"/>
                <w:szCs w:val="18"/>
              </w:rPr>
              <w:t>1</w:t>
            </w:r>
          </w:p>
        </w:tc>
        <w:tc>
          <w:tcPr>
            <w:tcW w:w="2497"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泰兴应急备用水源工程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扩建泰兴市应急备用水源厂，</w:t>
            </w:r>
            <w:r>
              <w:rPr>
                <w:rFonts w:eastAsia="等线"/>
                <w:sz w:val="22"/>
                <w:szCs w:val="18"/>
              </w:rPr>
              <w:t>10</w:t>
            </w:r>
            <w:r>
              <w:rPr>
                <w:rFonts w:hint="eastAsia"/>
                <w:sz w:val="22"/>
                <w:szCs w:val="18"/>
              </w:rPr>
              <w:t>万</w:t>
            </w:r>
            <w:r>
              <w:rPr>
                <w:rFonts w:eastAsia="等线"/>
                <w:sz w:val="22"/>
                <w:szCs w:val="18"/>
              </w:rPr>
              <w:t>m³/d</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1300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1300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cs="宋体"/>
                <w:sz w:val="22"/>
                <w:szCs w:val="18"/>
              </w:rPr>
              <w:t>2</w:t>
            </w:r>
          </w:p>
        </w:tc>
        <w:tc>
          <w:tcPr>
            <w:tcW w:w="2497"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兴化区域供水备用水源工程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新建</w:t>
            </w:r>
            <w:r>
              <w:rPr>
                <w:rFonts w:eastAsia="等线"/>
                <w:sz w:val="22"/>
                <w:szCs w:val="18"/>
              </w:rPr>
              <w:t>33</w:t>
            </w:r>
            <w:r>
              <w:rPr>
                <w:rFonts w:hint="eastAsia"/>
                <w:sz w:val="22"/>
                <w:szCs w:val="18"/>
              </w:rPr>
              <w:t>万</w:t>
            </w:r>
            <w:r>
              <w:rPr>
                <w:rFonts w:eastAsia="等线"/>
                <w:sz w:val="22"/>
                <w:szCs w:val="18"/>
              </w:rPr>
              <w:t>m³/d</w:t>
            </w:r>
            <w:r>
              <w:rPr>
                <w:rFonts w:hint="eastAsia"/>
                <w:sz w:val="22"/>
                <w:szCs w:val="18"/>
              </w:rPr>
              <w:t>水厂，铺设浑水管道</w:t>
            </w:r>
            <w:r>
              <w:rPr>
                <w:rFonts w:eastAsia="等线"/>
                <w:sz w:val="22"/>
                <w:szCs w:val="18"/>
              </w:rPr>
              <w:t>2.5km</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10000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5000</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5000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cs="宋体"/>
                <w:sz w:val="22"/>
                <w:szCs w:val="18"/>
              </w:rPr>
              <w:t>3</w:t>
            </w:r>
          </w:p>
        </w:tc>
        <w:tc>
          <w:tcPr>
            <w:tcW w:w="2497"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姜堰备用水源工程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新建</w:t>
            </w:r>
            <w:r>
              <w:rPr>
                <w:rFonts w:eastAsia="等线"/>
                <w:sz w:val="22"/>
                <w:szCs w:val="18"/>
              </w:rPr>
              <w:t>15</w:t>
            </w:r>
            <w:r>
              <w:rPr>
                <w:rFonts w:hint="eastAsia"/>
                <w:sz w:val="22"/>
                <w:szCs w:val="18"/>
              </w:rPr>
              <w:t>万</w:t>
            </w:r>
            <w:r>
              <w:rPr>
                <w:rFonts w:eastAsia="等线"/>
                <w:sz w:val="22"/>
                <w:szCs w:val="18"/>
              </w:rPr>
              <w:t>m³/d</w:t>
            </w:r>
            <w:r>
              <w:rPr>
                <w:rFonts w:hint="eastAsia"/>
                <w:sz w:val="22"/>
                <w:szCs w:val="18"/>
              </w:rPr>
              <w:t>水厂</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22200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22200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b/>
                <w:bCs/>
                <w:sz w:val="22"/>
                <w:szCs w:val="18"/>
              </w:rPr>
            </w:pPr>
            <w:r>
              <w:rPr>
                <w:rFonts w:hint="eastAsia" w:cs="宋体"/>
                <w:b/>
                <w:bCs/>
                <w:sz w:val="22"/>
                <w:szCs w:val="18"/>
              </w:rPr>
              <w:t>（二）</w:t>
            </w:r>
          </w:p>
        </w:tc>
        <w:tc>
          <w:tcPr>
            <w:tcW w:w="2497" w:type="dxa"/>
            <w:tcBorders>
              <w:top w:val="nil"/>
              <w:left w:val="nil"/>
              <w:bottom w:val="single" w:color="auto" w:sz="4" w:space="0"/>
              <w:right w:val="single" w:color="auto" w:sz="4" w:space="0"/>
            </w:tcBorders>
            <w:vAlign w:val="center"/>
          </w:tcPr>
          <w:p>
            <w:pPr>
              <w:pStyle w:val="36"/>
              <w:jc w:val="center"/>
              <w:rPr>
                <w:rFonts w:eastAsia="等线"/>
                <w:b/>
                <w:bCs/>
                <w:sz w:val="22"/>
                <w:szCs w:val="18"/>
              </w:rPr>
            </w:pPr>
            <w:r>
              <w:rPr>
                <w:rFonts w:hint="eastAsia"/>
                <w:b/>
                <w:bCs/>
                <w:sz w:val="22"/>
                <w:szCs w:val="18"/>
              </w:rPr>
              <w:t>供水工程</w:t>
            </w:r>
          </w:p>
        </w:tc>
        <w:tc>
          <w:tcPr>
            <w:tcW w:w="4946" w:type="dxa"/>
            <w:tcBorders>
              <w:top w:val="nil"/>
              <w:left w:val="nil"/>
              <w:bottom w:val="single" w:color="auto" w:sz="4" w:space="0"/>
              <w:right w:val="single" w:color="auto" w:sz="4" w:space="0"/>
            </w:tcBorders>
            <w:vAlign w:val="center"/>
          </w:tcPr>
          <w:p>
            <w:pPr>
              <w:pStyle w:val="36"/>
              <w:jc w:val="center"/>
              <w:rPr>
                <w:rFonts w:eastAsia="等线"/>
                <w:b/>
                <w:bCs/>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56600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56600</w:t>
            </w:r>
          </w:p>
        </w:tc>
        <w:tc>
          <w:tcPr>
            <w:tcW w:w="1227" w:type="dxa"/>
            <w:tcBorders>
              <w:top w:val="nil"/>
              <w:left w:val="nil"/>
              <w:bottom w:val="single" w:color="auto" w:sz="4" w:space="0"/>
              <w:right w:val="single" w:color="auto" w:sz="4" w:space="0"/>
            </w:tcBorders>
            <w:vAlign w:val="center"/>
          </w:tcPr>
          <w:p>
            <w:pPr>
              <w:pStyle w:val="36"/>
              <w:jc w:val="center"/>
              <w:rPr>
                <w:rFonts w:eastAsia="等线"/>
                <w:b/>
                <w:bCs/>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cs="宋体"/>
                <w:sz w:val="22"/>
                <w:szCs w:val="18"/>
              </w:rPr>
              <w:t>1</w:t>
            </w:r>
          </w:p>
        </w:tc>
        <w:tc>
          <w:tcPr>
            <w:tcW w:w="2497"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泰兴市宝塔水厂改造工程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实施宝塔水厂深度处理改造工程，建设增压站</w:t>
            </w:r>
            <w:r>
              <w:rPr>
                <w:rFonts w:eastAsia="等线"/>
                <w:sz w:val="22"/>
                <w:szCs w:val="18"/>
              </w:rPr>
              <w:t>3</w:t>
            </w:r>
            <w:r>
              <w:rPr>
                <w:rFonts w:hint="eastAsia"/>
                <w:sz w:val="22"/>
                <w:szCs w:val="18"/>
              </w:rPr>
              <w:t>座，改造乡镇低压区，新建智慧供水系统</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56600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56600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b/>
                <w:bCs/>
                <w:sz w:val="22"/>
                <w:szCs w:val="18"/>
              </w:rPr>
            </w:pPr>
            <w:r>
              <w:rPr>
                <w:rFonts w:hint="eastAsia" w:cs="宋体"/>
                <w:b/>
                <w:bCs/>
                <w:sz w:val="22"/>
                <w:szCs w:val="18"/>
              </w:rPr>
              <w:t>三</w:t>
            </w:r>
          </w:p>
        </w:tc>
        <w:tc>
          <w:tcPr>
            <w:tcW w:w="2497" w:type="dxa"/>
            <w:tcBorders>
              <w:top w:val="nil"/>
              <w:left w:val="nil"/>
              <w:bottom w:val="single" w:color="auto" w:sz="4" w:space="0"/>
              <w:right w:val="single" w:color="auto" w:sz="4" w:space="0"/>
            </w:tcBorders>
            <w:vAlign w:val="center"/>
          </w:tcPr>
          <w:p>
            <w:pPr>
              <w:pStyle w:val="36"/>
              <w:jc w:val="center"/>
              <w:rPr>
                <w:rFonts w:eastAsia="等线"/>
                <w:b/>
                <w:bCs/>
                <w:sz w:val="22"/>
                <w:szCs w:val="18"/>
              </w:rPr>
            </w:pPr>
            <w:r>
              <w:rPr>
                <w:rFonts w:hint="eastAsia"/>
                <w:b/>
                <w:bCs/>
                <w:sz w:val="22"/>
                <w:szCs w:val="18"/>
              </w:rPr>
              <w:t>生态水利工程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390706</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390706</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（一）</w:t>
            </w:r>
          </w:p>
        </w:tc>
        <w:tc>
          <w:tcPr>
            <w:tcW w:w="249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河道生态治理工程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生态修复重要河道</w:t>
            </w:r>
            <w:r>
              <w:rPr>
                <w:rFonts w:eastAsia="等线"/>
                <w:sz w:val="22"/>
                <w:szCs w:val="18"/>
              </w:rPr>
              <w:t>55</w:t>
            </w:r>
            <w:r>
              <w:rPr>
                <w:rFonts w:hint="eastAsia"/>
                <w:sz w:val="22"/>
                <w:szCs w:val="18"/>
              </w:rPr>
              <w:t>条</w:t>
            </w:r>
            <w:r>
              <w:rPr>
                <w:rFonts w:eastAsia="等线"/>
                <w:sz w:val="22"/>
                <w:szCs w:val="18"/>
              </w:rPr>
              <w:t>150km</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88200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88200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（二）</w:t>
            </w:r>
          </w:p>
        </w:tc>
        <w:tc>
          <w:tcPr>
            <w:tcW w:w="249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水系连通工程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新开、沟通城乡河道</w:t>
            </w:r>
            <w:r>
              <w:rPr>
                <w:rFonts w:eastAsia="等线"/>
                <w:sz w:val="22"/>
                <w:szCs w:val="18"/>
              </w:rPr>
              <w:t>52</w:t>
            </w:r>
            <w:r>
              <w:rPr>
                <w:rFonts w:hint="eastAsia"/>
                <w:sz w:val="22"/>
                <w:szCs w:val="18"/>
              </w:rPr>
              <w:t>条</w:t>
            </w:r>
            <w:r>
              <w:rPr>
                <w:rFonts w:eastAsia="等线"/>
                <w:sz w:val="22"/>
                <w:szCs w:val="18"/>
              </w:rPr>
              <w:t>21km</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176706</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176706</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（三）</w:t>
            </w:r>
          </w:p>
        </w:tc>
        <w:tc>
          <w:tcPr>
            <w:tcW w:w="249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退圩还湖工程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实施陈堡草荡等</w:t>
            </w:r>
            <w:r>
              <w:rPr>
                <w:rFonts w:eastAsia="等线"/>
                <w:sz w:val="22"/>
                <w:szCs w:val="18"/>
              </w:rPr>
              <w:t>7</w:t>
            </w:r>
            <w:r>
              <w:rPr>
                <w:rFonts w:hint="eastAsia"/>
                <w:sz w:val="22"/>
                <w:szCs w:val="18"/>
              </w:rPr>
              <w:t>座湖荡退圩还湖工程，退圩面积</w:t>
            </w:r>
            <w:r>
              <w:rPr>
                <w:rFonts w:eastAsia="等线"/>
                <w:sz w:val="22"/>
                <w:szCs w:val="18"/>
              </w:rPr>
              <w:t>63.2km²</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98500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98500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（四）</w:t>
            </w:r>
          </w:p>
        </w:tc>
        <w:tc>
          <w:tcPr>
            <w:tcW w:w="249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水土保持工程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治理水土流失面积</w:t>
            </w:r>
            <w:r>
              <w:rPr>
                <w:rFonts w:eastAsia="等线"/>
                <w:sz w:val="22"/>
                <w:szCs w:val="18"/>
              </w:rPr>
              <w:t>11.03km²</w:t>
            </w:r>
            <w:r>
              <w:rPr>
                <w:rFonts w:hint="eastAsia"/>
                <w:sz w:val="22"/>
                <w:szCs w:val="18"/>
              </w:rPr>
              <w:t>，建设生态清洁型小流域</w:t>
            </w:r>
            <w:r>
              <w:rPr>
                <w:rFonts w:eastAsia="等线"/>
                <w:sz w:val="22"/>
                <w:szCs w:val="18"/>
              </w:rPr>
              <w:t>2</w:t>
            </w:r>
            <w:r>
              <w:rPr>
                <w:rFonts w:hint="eastAsia"/>
                <w:sz w:val="22"/>
                <w:szCs w:val="18"/>
              </w:rPr>
              <w:t>条。</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27300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27300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b/>
                <w:bCs/>
                <w:sz w:val="22"/>
                <w:szCs w:val="18"/>
              </w:rPr>
            </w:pPr>
            <w:r>
              <w:rPr>
                <w:rFonts w:hint="eastAsia" w:cs="宋体"/>
                <w:b/>
                <w:bCs/>
                <w:sz w:val="22"/>
                <w:szCs w:val="18"/>
              </w:rPr>
              <w:t>四</w:t>
            </w:r>
          </w:p>
        </w:tc>
        <w:tc>
          <w:tcPr>
            <w:tcW w:w="2497" w:type="dxa"/>
            <w:tcBorders>
              <w:top w:val="nil"/>
              <w:left w:val="nil"/>
              <w:bottom w:val="single" w:color="auto" w:sz="4" w:space="0"/>
              <w:right w:val="single" w:color="auto" w:sz="4" w:space="0"/>
            </w:tcBorders>
            <w:vAlign w:val="center"/>
          </w:tcPr>
          <w:p>
            <w:pPr>
              <w:pStyle w:val="36"/>
              <w:jc w:val="center"/>
              <w:rPr>
                <w:rFonts w:eastAsia="等线"/>
                <w:b/>
                <w:bCs/>
                <w:sz w:val="22"/>
                <w:szCs w:val="18"/>
              </w:rPr>
            </w:pPr>
            <w:r>
              <w:rPr>
                <w:rFonts w:hint="eastAsia"/>
                <w:b/>
                <w:bCs/>
                <w:sz w:val="22"/>
                <w:szCs w:val="18"/>
              </w:rPr>
              <w:t>农村水利工程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108000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31600</w:t>
            </w: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108000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（一）</w:t>
            </w:r>
          </w:p>
        </w:tc>
        <w:tc>
          <w:tcPr>
            <w:tcW w:w="249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大中型灌区节水改造与续建配套</w:t>
            </w:r>
          </w:p>
        </w:tc>
        <w:tc>
          <w:tcPr>
            <w:tcW w:w="4946"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实施城黄灌区、溱潼灌区、周山河灌区、孤山灌区节水配套改造与提档升级</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38000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11600</w:t>
            </w: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38000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（二）</w:t>
            </w:r>
          </w:p>
        </w:tc>
        <w:tc>
          <w:tcPr>
            <w:tcW w:w="249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农村河道轮浚</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疏浚整治农村河道</w:t>
            </w:r>
            <w:r>
              <w:rPr>
                <w:rFonts w:eastAsia="等线"/>
                <w:sz w:val="22"/>
                <w:szCs w:val="18"/>
              </w:rPr>
              <w:t>4500</w:t>
            </w:r>
            <w:r>
              <w:rPr>
                <w:rFonts w:hint="eastAsia"/>
                <w:sz w:val="22"/>
                <w:szCs w:val="18"/>
              </w:rPr>
              <w:t>条，总长</w:t>
            </w:r>
            <w:r>
              <w:rPr>
                <w:rFonts w:eastAsia="等线"/>
                <w:sz w:val="22"/>
                <w:szCs w:val="18"/>
              </w:rPr>
              <w:t>900km</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40000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15000</w:t>
            </w: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40000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（三）</w:t>
            </w:r>
          </w:p>
        </w:tc>
        <w:tc>
          <w:tcPr>
            <w:tcW w:w="2497"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小型农田水利工程管护</w:t>
            </w:r>
          </w:p>
        </w:tc>
        <w:tc>
          <w:tcPr>
            <w:tcW w:w="4946"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灌排工程维修养护、计量设施购置安装、农民用水合作组织运行等</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30000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5000</w:t>
            </w: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30000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b/>
                <w:bCs/>
                <w:sz w:val="22"/>
                <w:szCs w:val="18"/>
              </w:rPr>
            </w:pPr>
            <w:r>
              <w:rPr>
                <w:rFonts w:hint="eastAsia" w:cs="宋体"/>
                <w:b/>
                <w:bCs/>
                <w:sz w:val="22"/>
                <w:szCs w:val="18"/>
              </w:rPr>
              <w:t>五</w:t>
            </w:r>
          </w:p>
        </w:tc>
        <w:tc>
          <w:tcPr>
            <w:tcW w:w="2497" w:type="dxa"/>
            <w:tcBorders>
              <w:top w:val="nil"/>
              <w:left w:val="nil"/>
              <w:bottom w:val="single" w:color="auto" w:sz="4" w:space="0"/>
              <w:right w:val="single" w:color="auto" w:sz="4" w:space="0"/>
            </w:tcBorders>
            <w:vAlign w:val="center"/>
          </w:tcPr>
          <w:p>
            <w:pPr>
              <w:pStyle w:val="36"/>
              <w:jc w:val="center"/>
              <w:rPr>
                <w:rFonts w:eastAsia="等线"/>
                <w:b/>
                <w:bCs/>
                <w:sz w:val="22"/>
                <w:szCs w:val="18"/>
              </w:rPr>
            </w:pPr>
            <w:r>
              <w:rPr>
                <w:rFonts w:hint="eastAsia"/>
                <w:b/>
                <w:bCs/>
                <w:sz w:val="22"/>
                <w:szCs w:val="18"/>
              </w:rPr>
              <w:t>智慧水利工程</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16700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16700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（一）</w:t>
            </w:r>
          </w:p>
        </w:tc>
        <w:tc>
          <w:tcPr>
            <w:tcW w:w="2497"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智能感知监测系统建设</w:t>
            </w:r>
          </w:p>
        </w:tc>
        <w:tc>
          <w:tcPr>
            <w:tcW w:w="4946"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建设水利工程视频监控系统、防汛监测预警系统、河长制水质监测系统；建设视频监控点</w:t>
            </w:r>
            <w:r>
              <w:rPr>
                <w:rFonts w:cs="宋体"/>
                <w:sz w:val="22"/>
                <w:szCs w:val="18"/>
              </w:rPr>
              <w:t>10000</w:t>
            </w:r>
            <w:r>
              <w:rPr>
                <w:rFonts w:hint="eastAsia" w:cs="宋体"/>
                <w:sz w:val="22"/>
                <w:szCs w:val="18"/>
              </w:rPr>
              <w:t>处、水位监测站点</w:t>
            </w:r>
            <w:r>
              <w:rPr>
                <w:rFonts w:cs="宋体"/>
                <w:sz w:val="22"/>
                <w:szCs w:val="18"/>
              </w:rPr>
              <w:t>20</w:t>
            </w:r>
            <w:r>
              <w:rPr>
                <w:rFonts w:hint="eastAsia" w:cs="宋体"/>
                <w:sz w:val="22"/>
                <w:szCs w:val="18"/>
              </w:rPr>
              <w:t>处，易涝监控</w:t>
            </w:r>
            <w:r>
              <w:rPr>
                <w:rFonts w:cs="宋体"/>
                <w:sz w:val="22"/>
                <w:szCs w:val="18"/>
              </w:rPr>
              <w:t>40</w:t>
            </w:r>
            <w:r>
              <w:rPr>
                <w:rFonts w:hint="eastAsia" w:cs="宋体"/>
                <w:sz w:val="22"/>
                <w:szCs w:val="18"/>
              </w:rPr>
              <w:t>处</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10000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10000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（二）</w:t>
            </w:r>
          </w:p>
        </w:tc>
        <w:tc>
          <w:tcPr>
            <w:tcW w:w="2497"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业务应用系统建设</w:t>
            </w:r>
          </w:p>
        </w:tc>
        <w:tc>
          <w:tcPr>
            <w:tcW w:w="4946"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建设水利工程精细化管理系统、水利工程建设与安全运行管理系统、节约用水与水资源监控能力管理系统、河湖长效保护与动态管控系统、水行政许可服务与监管系统</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6700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6700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b/>
                <w:bCs/>
                <w:sz w:val="22"/>
                <w:szCs w:val="18"/>
              </w:rPr>
            </w:pPr>
            <w:r>
              <w:rPr>
                <w:rFonts w:hint="eastAsia" w:cs="宋体"/>
                <w:b/>
                <w:bCs/>
                <w:sz w:val="22"/>
                <w:szCs w:val="18"/>
              </w:rPr>
              <w:t>六</w:t>
            </w:r>
          </w:p>
        </w:tc>
        <w:tc>
          <w:tcPr>
            <w:tcW w:w="2497" w:type="dxa"/>
            <w:tcBorders>
              <w:top w:val="nil"/>
              <w:left w:val="nil"/>
              <w:bottom w:val="single" w:color="auto" w:sz="4" w:space="0"/>
              <w:right w:val="single" w:color="auto" w:sz="4" w:space="0"/>
            </w:tcBorders>
            <w:vAlign w:val="center"/>
          </w:tcPr>
          <w:p>
            <w:pPr>
              <w:pStyle w:val="36"/>
              <w:jc w:val="center"/>
              <w:rPr>
                <w:rFonts w:eastAsia="等线"/>
                <w:b/>
                <w:bCs/>
                <w:sz w:val="22"/>
                <w:szCs w:val="18"/>
              </w:rPr>
            </w:pPr>
            <w:r>
              <w:rPr>
                <w:rFonts w:hint="eastAsia"/>
                <w:b/>
                <w:bCs/>
                <w:sz w:val="22"/>
                <w:szCs w:val="18"/>
              </w:rPr>
              <w:t>法治水利建设</w:t>
            </w:r>
          </w:p>
        </w:tc>
        <w:tc>
          <w:tcPr>
            <w:tcW w:w="4946"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57510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14600</w:t>
            </w: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6000</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51510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（一）</w:t>
            </w:r>
          </w:p>
        </w:tc>
        <w:tc>
          <w:tcPr>
            <w:tcW w:w="249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水资源管理</w:t>
            </w:r>
          </w:p>
        </w:tc>
        <w:tc>
          <w:tcPr>
            <w:tcW w:w="4946"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饮用水源地巡查、水质检测、水量分配、信息系统维护等</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360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360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（二）</w:t>
            </w:r>
          </w:p>
        </w:tc>
        <w:tc>
          <w:tcPr>
            <w:tcW w:w="249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河湖长制管理</w:t>
            </w:r>
          </w:p>
        </w:tc>
        <w:tc>
          <w:tcPr>
            <w:tcW w:w="4946"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生态河道样板建设和两违三乱整治奖补</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10000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10000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r>
        <w:tblPrEx>
          <w:tblLayout w:type="fixed"/>
          <w:tblCellMar>
            <w:top w:w="0" w:type="dxa"/>
            <w:left w:w="108" w:type="dxa"/>
            <w:bottom w:w="0" w:type="dxa"/>
            <w:right w:w="108" w:type="dxa"/>
          </w:tblCellMar>
        </w:tblPrEx>
        <w:trPr>
          <w:trHeight w:val="340" w:hRule="atLeast"/>
          <w:jc w:val="center"/>
        </w:trPr>
        <w:tc>
          <w:tcPr>
            <w:tcW w:w="954" w:type="dxa"/>
            <w:tcBorders>
              <w:top w:val="nil"/>
              <w:left w:val="single" w:color="auto" w:sz="4" w:space="0"/>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（三）</w:t>
            </w:r>
          </w:p>
        </w:tc>
        <w:tc>
          <w:tcPr>
            <w:tcW w:w="2497"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hint="eastAsia"/>
                <w:sz w:val="22"/>
                <w:szCs w:val="18"/>
              </w:rPr>
              <w:t>水利工程管理</w:t>
            </w:r>
          </w:p>
        </w:tc>
        <w:tc>
          <w:tcPr>
            <w:tcW w:w="4946" w:type="dxa"/>
            <w:tcBorders>
              <w:top w:val="nil"/>
              <w:left w:val="nil"/>
              <w:bottom w:val="single" w:color="auto" w:sz="4" w:space="0"/>
              <w:right w:val="single" w:color="auto" w:sz="4" w:space="0"/>
            </w:tcBorders>
            <w:vAlign w:val="center"/>
          </w:tcPr>
          <w:p>
            <w:pPr>
              <w:pStyle w:val="36"/>
              <w:jc w:val="center"/>
              <w:rPr>
                <w:rFonts w:cs="宋体"/>
                <w:sz w:val="22"/>
                <w:szCs w:val="18"/>
              </w:rPr>
            </w:pPr>
            <w:r>
              <w:rPr>
                <w:rFonts w:hint="eastAsia" w:cs="宋体"/>
                <w:sz w:val="22"/>
                <w:szCs w:val="18"/>
              </w:rPr>
              <w:t>水利工程维修和养护、河道和湖泊巡查管护、河道和湖泊生态修复、水上漂浮物打捞、水文测报与水情分析、长江河势监测、白蚁防治等</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47150</w:t>
            </w:r>
          </w:p>
        </w:tc>
        <w:tc>
          <w:tcPr>
            <w:tcW w:w="115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14600</w:t>
            </w:r>
          </w:p>
        </w:tc>
        <w:tc>
          <w:tcPr>
            <w:tcW w:w="1565"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6000</w:t>
            </w:r>
          </w:p>
        </w:tc>
        <w:tc>
          <w:tcPr>
            <w:tcW w:w="1098" w:type="dxa"/>
            <w:tcBorders>
              <w:top w:val="nil"/>
              <w:left w:val="nil"/>
              <w:bottom w:val="single" w:color="auto" w:sz="4" w:space="0"/>
              <w:right w:val="single" w:color="auto" w:sz="4" w:space="0"/>
            </w:tcBorders>
            <w:vAlign w:val="center"/>
          </w:tcPr>
          <w:p>
            <w:pPr>
              <w:pStyle w:val="36"/>
              <w:jc w:val="center"/>
              <w:rPr>
                <w:rFonts w:eastAsia="等线"/>
                <w:sz w:val="22"/>
                <w:szCs w:val="18"/>
              </w:rPr>
            </w:pPr>
            <w:r>
              <w:rPr>
                <w:rFonts w:eastAsia="等线"/>
                <w:sz w:val="22"/>
                <w:szCs w:val="18"/>
              </w:rPr>
              <w:t>41150</w:t>
            </w:r>
          </w:p>
        </w:tc>
        <w:tc>
          <w:tcPr>
            <w:tcW w:w="1227" w:type="dxa"/>
            <w:tcBorders>
              <w:top w:val="nil"/>
              <w:left w:val="nil"/>
              <w:bottom w:val="single" w:color="auto" w:sz="4" w:space="0"/>
              <w:right w:val="single" w:color="auto" w:sz="4" w:space="0"/>
            </w:tcBorders>
            <w:vAlign w:val="center"/>
          </w:tcPr>
          <w:p>
            <w:pPr>
              <w:pStyle w:val="36"/>
              <w:jc w:val="center"/>
              <w:rPr>
                <w:rFonts w:eastAsia="等线"/>
                <w:sz w:val="22"/>
                <w:szCs w:val="18"/>
              </w:rPr>
            </w:pPr>
          </w:p>
        </w:tc>
      </w:tr>
    </w:tbl>
    <w:p>
      <w:pPr>
        <w:ind w:firstLine="31680"/>
        <w:rPr>
          <w:color w:val="000000"/>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3C0041" w:csb1="A00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168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16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16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168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1680"/>
    </w:pPr>
  </w:p>
  <w:p>
    <w:pPr>
      <w:ind w:firstLine="31680"/>
    </w:pPr>
  </w:p>
  <w:p>
    <w:pPr>
      <w:ind w:firstLine="31680"/>
    </w:pPr>
  </w:p>
  <w:p>
    <w:pPr>
      <w:ind w:firstLine="316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16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1680"/>
      <w:jc w:val="center"/>
    </w:pPr>
    <w:r>
      <w:fldChar w:fldCharType="begin"/>
    </w:r>
    <w:r>
      <w:instrText xml:space="preserve">PAGE   \* MERGEFORMAT</w:instrText>
    </w:r>
    <w:r>
      <w:fldChar w:fldCharType="separate"/>
    </w:r>
    <w:r>
      <w:rPr>
        <w:lang w:val="zh-CN"/>
      </w:rPr>
      <w:t>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1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16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16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16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1680"/>
    </w:pPr>
  </w:p>
  <w:p>
    <w:pPr>
      <w:ind w:firstLine="31680"/>
    </w:pPr>
  </w:p>
  <w:p>
    <w:pPr>
      <w:ind w:firstLine="31680"/>
    </w:pPr>
  </w:p>
  <w:p>
    <w:pPr>
      <w:ind w:firstLine="316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16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957"/>
    <w:rsid w:val="0000383C"/>
    <w:rsid w:val="00003EF9"/>
    <w:rsid w:val="00005CD6"/>
    <w:rsid w:val="00007122"/>
    <w:rsid w:val="00010076"/>
    <w:rsid w:val="00010CF3"/>
    <w:rsid w:val="000112FC"/>
    <w:rsid w:val="000126E8"/>
    <w:rsid w:val="00013775"/>
    <w:rsid w:val="000137E7"/>
    <w:rsid w:val="00015709"/>
    <w:rsid w:val="00015B4D"/>
    <w:rsid w:val="00016BC6"/>
    <w:rsid w:val="000173F7"/>
    <w:rsid w:val="0002023C"/>
    <w:rsid w:val="000203F2"/>
    <w:rsid w:val="00021EA3"/>
    <w:rsid w:val="00023A7B"/>
    <w:rsid w:val="00023B2A"/>
    <w:rsid w:val="00025F3B"/>
    <w:rsid w:val="000305C2"/>
    <w:rsid w:val="00031671"/>
    <w:rsid w:val="000322DC"/>
    <w:rsid w:val="000335F2"/>
    <w:rsid w:val="000368D3"/>
    <w:rsid w:val="000369F1"/>
    <w:rsid w:val="00036BCE"/>
    <w:rsid w:val="00040C0F"/>
    <w:rsid w:val="00041532"/>
    <w:rsid w:val="00042708"/>
    <w:rsid w:val="00043269"/>
    <w:rsid w:val="00043413"/>
    <w:rsid w:val="00043547"/>
    <w:rsid w:val="00043A19"/>
    <w:rsid w:val="00044C2D"/>
    <w:rsid w:val="00046D70"/>
    <w:rsid w:val="0005017D"/>
    <w:rsid w:val="00051660"/>
    <w:rsid w:val="0005333B"/>
    <w:rsid w:val="00057128"/>
    <w:rsid w:val="00057310"/>
    <w:rsid w:val="00060AA4"/>
    <w:rsid w:val="000629B8"/>
    <w:rsid w:val="00064369"/>
    <w:rsid w:val="00064993"/>
    <w:rsid w:val="0006647B"/>
    <w:rsid w:val="00066824"/>
    <w:rsid w:val="00067953"/>
    <w:rsid w:val="0007188C"/>
    <w:rsid w:val="00073A2F"/>
    <w:rsid w:val="0007473C"/>
    <w:rsid w:val="0007633A"/>
    <w:rsid w:val="0007645D"/>
    <w:rsid w:val="0007759E"/>
    <w:rsid w:val="00084224"/>
    <w:rsid w:val="0008491C"/>
    <w:rsid w:val="000872B6"/>
    <w:rsid w:val="00095103"/>
    <w:rsid w:val="00095E71"/>
    <w:rsid w:val="000A05DD"/>
    <w:rsid w:val="000A18E2"/>
    <w:rsid w:val="000A29C7"/>
    <w:rsid w:val="000A59E6"/>
    <w:rsid w:val="000A61E2"/>
    <w:rsid w:val="000A745A"/>
    <w:rsid w:val="000B09D9"/>
    <w:rsid w:val="000B30DA"/>
    <w:rsid w:val="000B712D"/>
    <w:rsid w:val="000C0D7C"/>
    <w:rsid w:val="000C1C43"/>
    <w:rsid w:val="000C37D2"/>
    <w:rsid w:val="000C5FA6"/>
    <w:rsid w:val="000C7FC2"/>
    <w:rsid w:val="000D493E"/>
    <w:rsid w:val="000D5560"/>
    <w:rsid w:val="000D57F0"/>
    <w:rsid w:val="000E0837"/>
    <w:rsid w:val="000E2BFD"/>
    <w:rsid w:val="000E3850"/>
    <w:rsid w:val="000E4809"/>
    <w:rsid w:val="000E6828"/>
    <w:rsid w:val="000E691B"/>
    <w:rsid w:val="000F0A84"/>
    <w:rsid w:val="000F1A05"/>
    <w:rsid w:val="000F4C04"/>
    <w:rsid w:val="000F600F"/>
    <w:rsid w:val="0010014B"/>
    <w:rsid w:val="00102A5E"/>
    <w:rsid w:val="00106F65"/>
    <w:rsid w:val="00107E84"/>
    <w:rsid w:val="00113491"/>
    <w:rsid w:val="00114A7E"/>
    <w:rsid w:val="00114B1E"/>
    <w:rsid w:val="00121E80"/>
    <w:rsid w:val="00122912"/>
    <w:rsid w:val="001229CB"/>
    <w:rsid w:val="00122D3F"/>
    <w:rsid w:val="0012317A"/>
    <w:rsid w:val="00123A9D"/>
    <w:rsid w:val="00127467"/>
    <w:rsid w:val="00127E17"/>
    <w:rsid w:val="00132CC4"/>
    <w:rsid w:val="00143324"/>
    <w:rsid w:val="00143713"/>
    <w:rsid w:val="00143FF6"/>
    <w:rsid w:val="0014545E"/>
    <w:rsid w:val="00145CBD"/>
    <w:rsid w:val="00145E0F"/>
    <w:rsid w:val="00146E73"/>
    <w:rsid w:val="00152C91"/>
    <w:rsid w:val="00153062"/>
    <w:rsid w:val="001539F8"/>
    <w:rsid w:val="00155EF4"/>
    <w:rsid w:val="00163140"/>
    <w:rsid w:val="001636E9"/>
    <w:rsid w:val="001652EE"/>
    <w:rsid w:val="00166751"/>
    <w:rsid w:val="00167071"/>
    <w:rsid w:val="001676A9"/>
    <w:rsid w:val="001706BE"/>
    <w:rsid w:val="00174033"/>
    <w:rsid w:val="00174142"/>
    <w:rsid w:val="00176F90"/>
    <w:rsid w:val="00177199"/>
    <w:rsid w:val="00183287"/>
    <w:rsid w:val="00184993"/>
    <w:rsid w:val="00184BEA"/>
    <w:rsid w:val="00185414"/>
    <w:rsid w:val="00185BB8"/>
    <w:rsid w:val="00186A31"/>
    <w:rsid w:val="00186AE6"/>
    <w:rsid w:val="00186C95"/>
    <w:rsid w:val="00191B4B"/>
    <w:rsid w:val="0019223B"/>
    <w:rsid w:val="0019590C"/>
    <w:rsid w:val="0019610A"/>
    <w:rsid w:val="001966D3"/>
    <w:rsid w:val="00197E02"/>
    <w:rsid w:val="001A17D0"/>
    <w:rsid w:val="001A2D68"/>
    <w:rsid w:val="001A5575"/>
    <w:rsid w:val="001B2A60"/>
    <w:rsid w:val="001B4414"/>
    <w:rsid w:val="001B5289"/>
    <w:rsid w:val="001B7F7F"/>
    <w:rsid w:val="001C016D"/>
    <w:rsid w:val="001C0430"/>
    <w:rsid w:val="001C0A18"/>
    <w:rsid w:val="001C0A45"/>
    <w:rsid w:val="001C0BB8"/>
    <w:rsid w:val="001C10D0"/>
    <w:rsid w:val="001C11F8"/>
    <w:rsid w:val="001C4865"/>
    <w:rsid w:val="001C7A71"/>
    <w:rsid w:val="001D10DB"/>
    <w:rsid w:val="001D12B6"/>
    <w:rsid w:val="001D1FC6"/>
    <w:rsid w:val="001D2EB1"/>
    <w:rsid w:val="001D6F8A"/>
    <w:rsid w:val="001D75F0"/>
    <w:rsid w:val="001E338B"/>
    <w:rsid w:val="001E3936"/>
    <w:rsid w:val="001E3FA6"/>
    <w:rsid w:val="001E4095"/>
    <w:rsid w:val="001E40F2"/>
    <w:rsid w:val="001E460C"/>
    <w:rsid w:val="001F1B63"/>
    <w:rsid w:val="001F2747"/>
    <w:rsid w:val="001F5C0C"/>
    <w:rsid w:val="001F70DD"/>
    <w:rsid w:val="001F70E7"/>
    <w:rsid w:val="001F7332"/>
    <w:rsid w:val="001F7477"/>
    <w:rsid w:val="001F771B"/>
    <w:rsid w:val="0020192A"/>
    <w:rsid w:val="00203770"/>
    <w:rsid w:val="0020715D"/>
    <w:rsid w:val="002072F3"/>
    <w:rsid w:val="00210056"/>
    <w:rsid w:val="0021150E"/>
    <w:rsid w:val="002160D2"/>
    <w:rsid w:val="002170B0"/>
    <w:rsid w:val="002179E9"/>
    <w:rsid w:val="00217EBA"/>
    <w:rsid w:val="00220E50"/>
    <w:rsid w:val="0022140F"/>
    <w:rsid w:val="00221C16"/>
    <w:rsid w:val="00221C92"/>
    <w:rsid w:val="002255C6"/>
    <w:rsid w:val="00227266"/>
    <w:rsid w:val="0023308D"/>
    <w:rsid w:val="002334AF"/>
    <w:rsid w:val="00234551"/>
    <w:rsid w:val="00234D44"/>
    <w:rsid w:val="00235E43"/>
    <w:rsid w:val="00241259"/>
    <w:rsid w:val="00241A9B"/>
    <w:rsid w:val="00243894"/>
    <w:rsid w:val="002447B4"/>
    <w:rsid w:val="0024720B"/>
    <w:rsid w:val="0025141B"/>
    <w:rsid w:val="00251801"/>
    <w:rsid w:val="002555B4"/>
    <w:rsid w:val="00257B21"/>
    <w:rsid w:val="00260759"/>
    <w:rsid w:val="00262C90"/>
    <w:rsid w:val="00266B11"/>
    <w:rsid w:val="002709AA"/>
    <w:rsid w:val="00270C01"/>
    <w:rsid w:val="002742B2"/>
    <w:rsid w:val="00276126"/>
    <w:rsid w:val="00276388"/>
    <w:rsid w:val="0028058D"/>
    <w:rsid w:val="002827C9"/>
    <w:rsid w:val="00285CCD"/>
    <w:rsid w:val="00285DD5"/>
    <w:rsid w:val="00290869"/>
    <w:rsid w:val="00293B58"/>
    <w:rsid w:val="00294CE6"/>
    <w:rsid w:val="0029512E"/>
    <w:rsid w:val="002954FE"/>
    <w:rsid w:val="002A1395"/>
    <w:rsid w:val="002A146B"/>
    <w:rsid w:val="002A3D4C"/>
    <w:rsid w:val="002A5A3D"/>
    <w:rsid w:val="002B031A"/>
    <w:rsid w:val="002B1948"/>
    <w:rsid w:val="002B213E"/>
    <w:rsid w:val="002B3862"/>
    <w:rsid w:val="002B3BBD"/>
    <w:rsid w:val="002B4E80"/>
    <w:rsid w:val="002B6B08"/>
    <w:rsid w:val="002B79AF"/>
    <w:rsid w:val="002C019D"/>
    <w:rsid w:val="002C020C"/>
    <w:rsid w:val="002C0A93"/>
    <w:rsid w:val="002C1390"/>
    <w:rsid w:val="002C41C4"/>
    <w:rsid w:val="002C567B"/>
    <w:rsid w:val="002C5722"/>
    <w:rsid w:val="002C6800"/>
    <w:rsid w:val="002D0C3A"/>
    <w:rsid w:val="002D1BDF"/>
    <w:rsid w:val="002D1D58"/>
    <w:rsid w:val="002D2740"/>
    <w:rsid w:val="002D2C43"/>
    <w:rsid w:val="002D2D60"/>
    <w:rsid w:val="002D2D78"/>
    <w:rsid w:val="002D385C"/>
    <w:rsid w:val="002D4036"/>
    <w:rsid w:val="002D49EA"/>
    <w:rsid w:val="002D7E8B"/>
    <w:rsid w:val="002E2F22"/>
    <w:rsid w:val="002E3F38"/>
    <w:rsid w:val="002E5873"/>
    <w:rsid w:val="002E6848"/>
    <w:rsid w:val="002E71D2"/>
    <w:rsid w:val="002E7C06"/>
    <w:rsid w:val="002E7CFA"/>
    <w:rsid w:val="002F0D99"/>
    <w:rsid w:val="002F1E21"/>
    <w:rsid w:val="002F23FB"/>
    <w:rsid w:val="002F24F5"/>
    <w:rsid w:val="002F3C43"/>
    <w:rsid w:val="002F3CDE"/>
    <w:rsid w:val="002F57C1"/>
    <w:rsid w:val="003048EB"/>
    <w:rsid w:val="00304DD3"/>
    <w:rsid w:val="0030542E"/>
    <w:rsid w:val="00305AB8"/>
    <w:rsid w:val="00307017"/>
    <w:rsid w:val="00307264"/>
    <w:rsid w:val="00310741"/>
    <w:rsid w:val="00310B8F"/>
    <w:rsid w:val="00311B4C"/>
    <w:rsid w:val="003132E6"/>
    <w:rsid w:val="003136CC"/>
    <w:rsid w:val="003136D9"/>
    <w:rsid w:val="0031497E"/>
    <w:rsid w:val="003154C2"/>
    <w:rsid w:val="00317C66"/>
    <w:rsid w:val="003202ED"/>
    <w:rsid w:val="00322184"/>
    <w:rsid w:val="0032321C"/>
    <w:rsid w:val="00326A03"/>
    <w:rsid w:val="003341A9"/>
    <w:rsid w:val="0033737B"/>
    <w:rsid w:val="003428C2"/>
    <w:rsid w:val="00343A42"/>
    <w:rsid w:val="00347642"/>
    <w:rsid w:val="00347DD3"/>
    <w:rsid w:val="00347E24"/>
    <w:rsid w:val="003504B0"/>
    <w:rsid w:val="0035284F"/>
    <w:rsid w:val="00354E45"/>
    <w:rsid w:val="00354F76"/>
    <w:rsid w:val="003554A9"/>
    <w:rsid w:val="00356315"/>
    <w:rsid w:val="00356923"/>
    <w:rsid w:val="0036101C"/>
    <w:rsid w:val="00362F6B"/>
    <w:rsid w:val="00365F01"/>
    <w:rsid w:val="0036639D"/>
    <w:rsid w:val="00370A9D"/>
    <w:rsid w:val="00370DC5"/>
    <w:rsid w:val="0037369D"/>
    <w:rsid w:val="00373708"/>
    <w:rsid w:val="0037573A"/>
    <w:rsid w:val="00376AC3"/>
    <w:rsid w:val="00376B10"/>
    <w:rsid w:val="003802AE"/>
    <w:rsid w:val="003804CE"/>
    <w:rsid w:val="00380EAB"/>
    <w:rsid w:val="003816FE"/>
    <w:rsid w:val="003820DD"/>
    <w:rsid w:val="0038570C"/>
    <w:rsid w:val="003858D2"/>
    <w:rsid w:val="00387974"/>
    <w:rsid w:val="003917F5"/>
    <w:rsid w:val="00391C81"/>
    <w:rsid w:val="00392EFF"/>
    <w:rsid w:val="0039553C"/>
    <w:rsid w:val="0039603F"/>
    <w:rsid w:val="00396B33"/>
    <w:rsid w:val="003978C6"/>
    <w:rsid w:val="003A0BCA"/>
    <w:rsid w:val="003A2B05"/>
    <w:rsid w:val="003A3D5F"/>
    <w:rsid w:val="003A5C52"/>
    <w:rsid w:val="003A79F0"/>
    <w:rsid w:val="003B233E"/>
    <w:rsid w:val="003B2724"/>
    <w:rsid w:val="003B411F"/>
    <w:rsid w:val="003B5785"/>
    <w:rsid w:val="003B67B5"/>
    <w:rsid w:val="003B6D82"/>
    <w:rsid w:val="003B6F39"/>
    <w:rsid w:val="003C16B7"/>
    <w:rsid w:val="003C229A"/>
    <w:rsid w:val="003C317D"/>
    <w:rsid w:val="003D0BA6"/>
    <w:rsid w:val="003D1747"/>
    <w:rsid w:val="003D1E9D"/>
    <w:rsid w:val="003D3113"/>
    <w:rsid w:val="003D50B1"/>
    <w:rsid w:val="003E16B6"/>
    <w:rsid w:val="003E1B46"/>
    <w:rsid w:val="003E1E8F"/>
    <w:rsid w:val="003E2278"/>
    <w:rsid w:val="003E243A"/>
    <w:rsid w:val="003E3946"/>
    <w:rsid w:val="003E3FDC"/>
    <w:rsid w:val="003E71EB"/>
    <w:rsid w:val="003F03F0"/>
    <w:rsid w:val="003F33B5"/>
    <w:rsid w:val="003F3F75"/>
    <w:rsid w:val="003F63B7"/>
    <w:rsid w:val="003F6580"/>
    <w:rsid w:val="00400975"/>
    <w:rsid w:val="00400FE9"/>
    <w:rsid w:val="00401367"/>
    <w:rsid w:val="00401CB3"/>
    <w:rsid w:val="00405F17"/>
    <w:rsid w:val="00406A1A"/>
    <w:rsid w:val="004072E0"/>
    <w:rsid w:val="004079DF"/>
    <w:rsid w:val="00407DA6"/>
    <w:rsid w:val="00410C94"/>
    <w:rsid w:val="00412E72"/>
    <w:rsid w:val="00413667"/>
    <w:rsid w:val="00413ECB"/>
    <w:rsid w:val="0041467E"/>
    <w:rsid w:val="0041570B"/>
    <w:rsid w:val="00416CE6"/>
    <w:rsid w:val="0041723A"/>
    <w:rsid w:val="004217AE"/>
    <w:rsid w:val="004228C4"/>
    <w:rsid w:val="004242B3"/>
    <w:rsid w:val="004303E3"/>
    <w:rsid w:val="0043240F"/>
    <w:rsid w:val="004336C0"/>
    <w:rsid w:val="004338C4"/>
    <w:rsid w:val="00434667"/>
    <w:rsid w:val="004360B5"/>
    <w:rsid w:val="00437CE4"/>
    <w:rsid w:val="00441182"/>
    <w:rsid w:val="0044375F"/>
    <w:rsid w:val="004441AE"/>
    <w:rsid w:val="00446743"/>
    <w:rsid w:val="004469AA"/>
    <w:rsid w:val="00447D42"/>
    <w:rsid w:val="004513FB"/>
    <w:rsid w:val="00452C4B"/>
    <w:rsid w:val="00453BEB"/>
    <w:rsid w:val="00456EF3"/>
    <w:rsid w:val="00460ADB"/>
    <w:rsid w:val="00461434"/>
    <w:rsid w:val="00462CE8"/>
    <w:rsid w:val="004704BB"/>
    <w:rsid w:val="00477147"/>
    <w:rsid w:val="00477217"/>
    <w:rsid w:val="00481D27"/>
    <w:rsid w:val="004825F6"/>
    <w:rsid w:val="00482915"/>
    <w:rsid w:val="00484EAC"/>
    <w:rsid w:val="0048519A"/>
    <w:rsid w:val="00485B71"/>
    <w:rsid w:val="00486EFA"/>
    <w:rsid w:val="00491C06"/>
    <w:rsid w:val="00491EDC"/>
    <w:rsid w:val="004924CF"/>
    <w:rsid w:val="004925A1"/>
    <w:rsid w:val="0049553E"/>
    <w:rsid w:val="004A394E"/>
    <w:rsid w:val="004A7D52"/>
    <w:rsid w:val="004B1984"/>
    <w:rsid w:val="004B1F5D"/>
    <w:rsid w:val="004C0966"/>
    <w:rsid w:val="004C0F6E"/>
    <w:rsid w:val="004C452B"/>
    <w:rsid w:val="004C4ACD"/>
    <w:rsid w:val="004C6317"/>
    <w:rsid w:val="004D2007"/>
    <w:rsid w:val="004D26B7"/>
    <w:rsid w:val="004D4761"/>
    <w:rsid w:val="004D4BFC"/>
    <w:rsid w:val="004D52B1"/>
    <w:rsid w:val="004D53CC"/>
    <w:rsid w:val="004E063F"/>
    <w:rsid w:val="004E3CB9"/>
    <w:rsid w:val="004E4DC7"/>
    <w:rsid w:val="004E72F1"/>
    <w:rsid w:val="004F1F6A"/>
    <w:rsid w:val="004F24E6"/>
    <w:rsid w:val="004F7706"/>
    <w:rsid w:val="004F7D30"/>
    <w:rsid w:val="0050013C"/>
    <w:rsid w:val="00502684"/>
    <w:rsid w:val="00502851"/>
    <w:rsid w:val="0050645C"/>
    <w:rsid w:val="00506677"/>
    <w:rsid w:val="0050788D"/>
    <w:rsid w:val="0051053A"/>
    <w:rsid w:val="00511CE6"/>
    <w:rsid w:val="0051459A"/>
    <w:rsid w:val="005146C9"/>
    <w:rsid w:val="00515D6A"/>
    <w:rsid w:val="005164E7"/>
    <w:rsid w:val="005228EF"/>
    <w:rsid w:val="00522D55"/>
    <w:rsid w:val="00523D4D"/>
    <w:rsid w:val="0052720F"/>
    <w:rsid w:val="00527E88"/>
    <w:rsid w:val="0053058B"/>
    <w:rsid w:val="0053151E"/>
    <w:rsid w:val="00533A04"/>
    <w:rsid w:val="00534369"/>
    <w:rsid w:val="005343E6"/>
    <w:rsid w:val="00534426"/>
    <w:rsid w:val="0053475D"/>
    <w:rsid w:val="00535A36"/>
    <w:rsid w:val="0053605E"/>
    <w:rsid w:val="005361EB"/>
    <w:rsid w:val="00536209"/>
    <w:rsid w:val="0053735C"/>
    <w:rsid w:val="00541B0A"/>
    <w:rsid w:val="00541EA3"/>
    <w:rsid w:val="005455F8"/>
    <w:rsid w:val="00552265"/>
    <w:rsid w:val="005522DB"/>
    <w:rsid w:val="005527FB"/>
    <w:rsid w:val="00552CDE"/>
    <w:rsid w:val="00553A2B"/>
    <w:rsid w:val="0055408F"/>
    <w:rsid w:val="00556D3A"/>
    <w:rsid w:val="00560B7C"/>
    <w:rsid w:val="00561302"/>
    <w:rsid w:val="00565146"/>
    <w:rsid w:val="00566355"/>
    <w:rsid w:val="00566B08"/>
    <w:rsid w:val="00567444"/>
    <w:rsid w:val="00567B4E"/>
    <w:rsid w:val="0057167B"/>
    <w:rsid w:val="00573754"/>
    <w:rsid w:val="0057493F"/>
    <w:rsid w:val="00577625"/>
    <w:rsid w:val="00577B79"/>
    <w:rsid w:val="00580042"/>
    <w:rsid w:val="00580185"/>
    <w:rsid w:val="005812B4"/>
    <w:rsid w:val="00581D2C"/>
    <w:rsid w:val="00582F37"/>
    <w:rsid w:val="00586C2F"/>
    <w:rsid w:val="005918DC"/>
    <w:rsid w:val="005928B8"/>
    <w:rsid w:val="005930AD"/>
    <w:rsid w:val="00594BD4"/>
    <w:rsid w:val="0059789D"/>
    <w:rsid w:val="005A2A40"/>
    <w:rsid w:val="005A3B9D"/>
    <w:rsid w:val="005A56F8"/>
    <w:rsid w:val="005A57E0"/>
    <w:rsid w:val="005A6BFD"/>
    <w:rsid w:val="005B1E68"/>
    <w:rsid w:val="005B220B"/>
    <w:rsid w:val="005B5A3A"/>
    <w:rsid w:val="005B617D"/>
    <w:rsid w:val="005B6728"/>
    <w:rsid w:val="005C1743"/>
    <w:rsid w:val="005C6B4C"/>
    <w:rsid w:val="005D0505"/>
    <w:rsid w:val="005D08E7"/>
    <w:rsid w:val="005D1873"/>
    <w:rsid w:val="005D358E"/>
    <w:rsid w:val="005D517E"/>
    <w:rsid w:val="005D5A92"/>
    <w:rsid w:val="005D6B82"/>
    <w:rsid w:val="005D7C65"/>
    <w:rsid w:val="005E09DB"/>
    <w:rsid w:val="005E1DAE"/>
    <w:rsid w:val="005E41F0"/>
    <w:rsid w:val="005E7F2A"/>
    <w:rsid w:val="005F0084"/>
    <w:rsid w:val="005F06EF"/>
    <w:rsid w:val="005F137F"/>
    <w:rsid w:val="005F240B"/>
    <w:rsid w:val="005F2554"/>
    <w:rsid w:val="005F49B5"/>
    <w:rsid w:val="005F59D3"/>
    <w:rsid w:val="005F605E"/>
    <w:rsid w:val="005F6D98"/>
    <w:rsid w:val="0060443D"/>
    <w:rsid w:val="00604794"/>
    <w:rsid w:val="00605471"/>
    <w:rsid w:val="00605B2A"/>
    <w:rsid w:val="00607893"/>
    <w:rsid w:val="00607C06"/>
    <w:rsid w:val="00610DC7"/>
    <w:rsid w:val="00610DF5"/>
    <w:rsid w:val="00611146"/>
    <w:rsid w:val="0061279B"/>
    <w:rsid w:val="00614224"/>
    <w:rsid w:val="00617190"/>
    <w:rsid w:val="006178CD"/>
    <w:rsid w:val="00617E46"/>
    <w:rsid w:val="006204B3"/>
    <w:rsid w:val="006204C8"/>
    <w:rsid w:val="006204D6"/>
    <w:rsid w:val="006216D1"/>
    <w:rsid w:val="006217AB"/>
    <w:rsid w:val="0062260A"/>
    <w:rsid w:val="006232E8"/>
    <w:rsid w:val="00623E06"/>
    <w:rsid w:val="0062451F"/>
    <w:rsid w:val="00627568"/>
    <w:rsid w:val="00631328"/>
    <w:rsid w:val="006346EF"/>
    <w:rsid w:val="00634EF2"/>
    <w:rsid w:val="00636FBB"/>
    <w:rsid w:val="00642D16"/>
    <w:rsid w:val="00643238"/>
    <w:rsid w:val="00645176"/>
    <w:rsid w:val="00646E72"/>
    <w:rsid w:val="00650930"/>
    <w:rsid w:val="0065094D"/>
    <w:rsid w:val="00651722"/>
    <w:rsid w:val="00652529"/>
    <w:rsid w:val="00653D8A"/>
    <w:rsid w:val="0065449E"/>
    <w:rsid w:val="00656560"/>
    <w:rsid w:val="00663453"/>
    <w:rsid w:val="00664D7C"/>
    <w:rsid w:val="00665A7C"/>
    <w:rsid w:val="00666ACB"/>
    <w:rsid w:val="00667672"/>
    <w:rsid w:val="0066775B"/>
    <w:rsid w:val="0067163C"/>
    <w:rsid w:val="006727FC"/>
    <w:rsid w:val="00672959"/>
    <w:rsid w:val="006748F7"/>
    <w:rsid w:val="00675C55"/>
    <w:rsid w:val="0068033E"/>
    <w:rsid w:val="00681297"/>
    <w:rsid w:val="00684160"/>
    <w:rsid w:val="00684BCA"/>
    <w:rsid w:val="00687E31"/>
    <w:rsid w:val="006909C7"/>
    <w:rsid w:val="00691ADC"/>
    <w:rsid w:val="00692C89"/>
    <w:rsid w:val="00693831"/>
    <w:rsid w:val="006953CA"/>
    <w:rsid w:val="006975B8"/>
    <w:rsid w:val="00697A31"/>
    <w:rsid w:val="00697F48"/>
    <w:rsid w:val="006A231F"/>
    <w:rsid w:val="006A4CCB"/>
    <w:rsid w:val="006A4F37"/>
    <w:rsid w:val="006A616D"/>
    <w:rsid w:val="006B0AE2"/>
    <w:rsid w:val="006B127E"/>
    <w:rsid w:val="006B53D6"/>
    <w:rsid w:val="006C251D"/>
    <w:rsid w:val="006C37E0"/>
    <w:rsid w:val="006C4344"/>
    <w:rsid w:val="006C49DD"/>
    <w:rsid w:val="006C517B"/>
    <w:rsid w:val="006C5319"/>
    <w:rsid w:val="006C60D1"/>
    <w:rsid w:val="006D0327"/>
    <w:rsid w:val="006D08BE"/>
    <w:rsid w:val="006D1D9E"/>
    <w:rsid w:val="006D3282"/>
    <w:rsid w:val="006D49D8"/>
    <w:rsid w:val="006E0410"/>
    <w:rsid w:val="006E2109"/>
    <w:rsid w:val="006E246E"/>
    <w:rsid w:val="006E3070"/>
    <w:rsid w:val="006E458D"/>
    <w:rsid w:val="006E528D"/>
    <w:rsid w:val="006E61B1"/>
    <w:rsid w:val="006E641D"/>
    <w:rsid w:val="006F0B17"/>
    <w:rsid w:val="006F0EAD"/>
    <w:rsid w:val="006F12E0"/>
    <w:rsid w:val="006F50BD"/>
    <w:rsid w:val="006F56FB"/>
    <w:rsid w:val="00700F3B"/>
    <w:rsid w:val="007013D2"/>
    <w:rsid w:val="00702C7B"/>
    <w:rsid w:val="00703709"/>
    <w:rsid w:val="007044BD"/>
    <w:rsid w:val="00705084"/>
    <w:rsid w:val="007078D2"/>
    <w:rsid w:val="007105BF"/>
    <w:rsid w:val="00710AF3"/>
    <w:rsid w:val="007118F8"/>
    <w:rsid w:val="00711D5C"/>
    <w:rsid w:val="007126CF"/>
    <w:rsid w:val="007133E4"/>
    <w:rsid w:val="0071435A"/>
    <w:rsid w:val="00714CEC"/>
    <w:rsid w:val="007158B1"/>
    <w:rsid w:val="0071630F"/>
    <w:rsid w:val="00722E10"/>
    <w:rsid w:val="00723456"/>
    <w:rsid w:val="00724BEC"/>
    <w:rsid w:val="007269F6"/>
    <w:rsid w:val="00731085"/>
    <w:rsid w:val="007312D1"/>
    <w:rsid w:val="007323B9"/>
    <w:rsid w:val="00732D5A"/>
    <w:rsid w:val="0073331D"/>
    <w:rsid w:val="0073508E"/>
    <w:rsid w:val="007358AD"/>
    <w:rsid w:val="00736DEC"/>
    <w:rsid w:val="00737B23"/>
    <w:rsid w:val="007412D3"/>
    <w:rsid w:val="007425DB"/>
    <w:rsid w:val="00745560"/>
    <w:rsid w:val="007512F7"/>
    <w:rsid w:val="00751BA7"/>
    <w:rsid w:val="0076025C"/>
    <w:rsid w:val="0076038B"/>
    <w:rsid w:val="00760AD6"/>
    <w:rsid w:val="00762DEE"/>
    <w:rsid w:val="007647BB"/>
    <w:rsid w:val="007649DF"/>
    <w:rsid w:val="00764FB8"/>
    <w:rsid w:val="00767A6F"/>
    <w:rsid w:val="00767CE7"/>
    <w:rsid w:val="0077207F"/>
    <w:rsid w:val="007732A9"/>
    <w:rsid w:val="00773FF4"/>
    <w:rsid w:val="00775014"/>
    <w:rsid w:val="00777ECC"/>
    <w:rsid w:val="007800B3"/>
    <w:rsid w:val="00780381"/>
    <w:rsid w:val="00781751"/>
    <w:rsid w:val="00781CB1"/>
    <w:rsid w:val="0078252B"/>
    <w:rsid w:val="00782CA7"/>
    <w:rsid w:val="00783366"/>
    <w:rsid w:val="00783BC0"/>
    <w:rsid w:val="007860D1"/>
    <w:rsid w:val="00787AE4"/>
    <w:rsid w:val="0079033E"/>
    <w:rsid w:val="00790D72"/>
    <w:rsid w:val="0079320F"/>
    <w:rsid w:val="007936D0"/>
    <w:rsid w:val="00794DB5"/>
    <w:rsid w:val="007A3736"/>
    <w:rsid w:val="007A38A4"/>
    <w:rsid w:val="007A3A3F"/>
    <w:rsid w:val="007A4471"/>
    <w:rsid w:val="007A59DF"/>
    <w:rsid w:val="007A6DEB"/>
    <w:rsid w:val="007B0519"/>
    <w:rsid w:val="007B3B45"/>
    <w:rsid w:val="007B4CF9"/>
    <w:rsid w:val="007B5F54"/>
    <w:rsid w:val="007B7D9E"/>
    <w:rsid w:val="007C05BC"/>
    <w:rsid w:val="007C183D"/>
    <w:rsid w:val="007C3AA5"/>
    <w:rsid w:val="007C44C3"/>
    <w:rsid w:val="007C6529"/>
    <w:rsid w:val="007C65D5"/>
    <w:rsid w:val="007C6908"/>
    <w:rsid w:val="007C6D68"/>
    <w:rsid w:val="007C6F73"/>
    <w:rsid w:val="007D0139"/>
    <w:rsid w:val="007D18FB"/>
    <w:rsid w:val="007D2752"/>
    <w:rsid w:val="007D2E9B"/>
    <w:rsid w:val="007D34AB"/>
    <w:rsid w:val="007D441B"/>
    <w:rsid w:val="007D625D"/>
    <w:rsid w:val="007E006F"/>
    <w:rsid w:val="007E25B3"/>
    <w:rsid w:val="007E2C9A"/>
    <w:rsid w:val="007E3016"/>
    <w:rsid w:val="007E31A4"/>
    <w:rsid w:val="007E49F1"/>
    <w:rsid w:val="007E4ABD"/>
    <w:rsid w:val="007E512B"/>
    <w:rsid w:val="007E627D"/>
    <w:rsid w:val="007E64C9"/>
    <w:rsid w:val="007E6963"/>
    <w:rsid w:val="007E7884"/>
    <w:rsid w:val="007F0B9C"/>
    <w:rsid w:val="007F2A41"/>
    <w:rsid w:val="007F7E5B"/>
    <w:rsid w:val="008014DF"/>
    <w:rsid w:val="008024E0"/>
    <w:rsid w:val="008052A6"/>
    <w:rsid w:val="00805818"/>
    <w:rsid w:val="00807CDF"/>
    <w:rsid w:val="00813932"/>
    <w:rsid w:val="0081457D"/>
    <w:rsid w:val="00815CCF"/>
    <w:rsid w:val="008168E2"/>
    <w:rsid w:val="00821B70"/>
    <w:rsid w:val="00821EEE"/>
    <w:rsid w:val="008222F5"/>
    <w:rsid w:val="00823314"/>
    <w:rsid w:val="00827D3D"/>
    <w:rsid w:val="00830BD0"/>
    <w:rsid w:val="00830EF4"/>
    <w:rsid w:val="0083195A"/>
    <w:rsid w:val="00834335"/>
    <w:rsid w:val="008358FA"/>
    <w:rsid w:val="00836080"/>
    <w:rsid w:val="008428BF"/>
    <w:rsid w:val="00843A81"/>
    <w:rsid w:val="0084565D"/>
    <w:rsid w:val="00846060"/>
    <w:rsid w:val="008461F3"/>
    <w:rsid w:val="008466DF"/>
    <w:rsid w:val="0084699D"/>
    <w:rsid w:val="00847AB9"/>
    <w:rsid w:val="00847E64"/>
    <w:rsid w:val="00851F0D"/>
    <w:rsid w:val="00852F3C"/>
    <w:rsid w:val="00853795"/>
    <w:rsid w:val="0085402C"/>
    <w:rsid w:val="00854031"/>
    <w:rsid w:val="00854467"/>
    <w:rsid w:val="00854715"/>
    <w:rsid w:val="00854EF9"/>
    <w:rsid w:val="00855AC9"/>
    <w:rsid w:val="00855CE2"/>
    <w:rsid w:val="008563D6"/>
    <w:rsid w:val="00861BB5"/>
    <w:rsid w:val="00864F8A"/>
    <w:rsid w:val="0086648C"/>
    <w:rsid w:val="00866A28"/>
    <w:rsid w:val="008704C8"/>
    <w:rsid w:val="00870B44"/>
    <w:rsid w:val="00872A61"/>
    <w:rsid w:val="008735DA"/>
    <w:rsid w:val="00874B81"/>
    <w:rsid w:val="00875AB6"/>
    <w:rsid w:val="00876BD5"/>
    <w:rsid w:val="008810FD"/>
    <w:rsid w:val="0088208A"/>
    <w:rsid w:val="0088621B"/>
    <w:rsid w:val="00886443"/>
    <w:rsid w:val="008874B0"/>
    <w:rsid w:val="00890CC0"/>
    <w:rsid w:val="00890E60"/>
    <w:rsid w:val="00891687"/>
    <w:rsid w:val="0089229F"/>
    <w:rsid w:val="00892610"/>
    <w:rsid w:val="00893A37"/>
    <w:rsid w:val="00893D18"/>
    <w:rsid w:val="00894604"/>
    <w:rsid w:val="0089481A"/>
    <w:rsid w:val="0089513B"/>
    <w:rsid w:val="00896AAB"/>
    <w:rsid w:val="00897A54"/>
    <w:rsid w:val="008A25DA"/>
    <w:rsid w:val="008A379B"/>
    <w:rsid w:val="008A3F5D"/>
    <w:rsid w:val="008A4B1D"/>
    <w:rsid w:val="008A4CA6"/>
    <w:rsid w:val="008A5E5C"/>
    <w:rsid w:val="008A71D8"/>
    <w:rsid w:val="008A7D20"/>
    <w:rsid w:val="008B1C5C"/>
    <w:rsid w:val="008B4853"/>
    <w:rsid w:val="008B51E9"/>
    <w:rsid w:val="008C0FF9"/>
    <w:rsid w:val="008C1E66"/>
    <w:rsid w:val="008C4C56"/>
    <w:rsid w:val="008C5759"/>
    <w:rsid w:val="008C66F2"/>
    <w:rsid w:val="008C6EDE"/>
    <w:rsid w:val="008C6F26"/>
    <w:rsid w:val="008C6F52"/>
    <w:rsid w:val="008D01AD"/>
    <w:rsid w:val="008D0D00"/>
    <w:rsid w:val="008D11C3"/>
    <w:rsid w:val="008D3072"/>
    <w:rsid w:val="008D57A0"/>
    <w:rsid w:val="008D5CA0"/>
    <w:rsid w:val="008D7F9C"/>
    <w:rsid w:val="008E0542"/>
    <w:rsid w:val="008E261D"/>
    <w:rsid w:val="008F4A6E"/>
    <w:rsid w:val="008F5059"/>
    <w:rsid w:val="008F5C77"/>
    <w:rsid w:val="008F659A"/>
    <w:rsid w:val="008F7B44"/>
    <w:rsid w:val="00900EF8"/>
    <w:rsid w:val="00900FA7"/>
    <w:rsid w:val="00902A4E"/>
    <w:rsid w:val="009046B6"/>
    <w:rsid w:val="00906631"/>
    <w:rsid w:val="00907497"/>
    <w:rsid w:val="00911226"/>
    <w:rsid w:val="009117A8"/>
    <w:rsid w:val="00913F6B"/>
    <w:rsid w:val="00916CE3"/>
    <w:rsid w:val="00916F7C"/>
    <w:rsid w:val="00917C18"/>
    <w:rsid w:val="00920466"/>
    <w:rsid w:val="00920559"/>
    <w:rsid w:val="00924F08"/>
    <w:rsid w:val="00925067"/>
    <w:rsid w:val="009255FD"/>
    <w:rsid w:val="00926F33"/>
    <w:rsid w:val="009314E8"/>
    <w:rsid w:val="00931675"/>
    <w:rsid w:val="00931E22"/>
    <w:rsid w:val="00932A78"/>
    <w:rsid w:val="00932EB5"/>
    <w:rsid w:val="00935F54"/>
    <w:rsid w:val="00935FA5"/>
    <w:rsid w:val="00943BF0"/>
    <w:rsid w:val="00946A1D"/>
    <w:rsid w:val="00947482"/>
    <w:rsid w:val="00951F12"/>
    <w:rsid w:val="00952671"/>
    <w:rsid w:val="00956B30"/>
    <w:rsid w:val="009570E0"/>
    <w:rsid w:val="00957FBC"/>
    <w:rsid w:val="00962E50"/>
    <w:rsid w:val="009656B8"/>
    <w:rsid w:val="00970330"/>
    <w:rsid w:val="00972D45"/>
    <w:rsid w:val="00973303"/>
    <w:rsid w:val="0097469E"/>
    <w:rsid w:val="009751C7"/>
    <w:rsid w:val="00976AA6"/>
    <w:rsid w:val="0097701A"/>
    <w:rsid w:val="009835C1"/>
    <w:rsid w:val="009841CB"/>
    <w:rsid w:val="0098571D"/>
    <w:rsid w:val="00985A47"/>
    <w:rsid w:val="009906C5"/>
    <w:rsid w:val="0099201D"/>
    <w:rsid w:val="009920D8"/>
    <w:rsid w:val="00996C48"/>
    <w:rsid w:val="009A23C6"/>
    <w:rsid w:val="009A6218"/>
    <w:rsid w:val="009B2141"/>
    <w:rsid w:val="009B30D3"/>
    <w:rsid w:val="009B3910"/>
    <w:rsid w:val="009B48A9"/>
    <w:rsid w:val="009B647B"/>
    <w:rsid w:val="009B7355"/>
    <w:rsid w:val="009B744A"/>
    <w:rsid w:val="009B7EB0"/>
    <w:rsid w:val="009C3401"/>
    <w:rsid w:val="009C3CC4"/>
    <w:rsid w:val="009C7A83"/>
    <w:rsid w:val="009C7AC9"/>
    <w:rsid w:val="009D11F3"/>
    <w:rsid w:val="009D299C"/>
    <w:rsid w:val="009D2B37"/>
    <w:rsid w:val="009D2FD3"/>
    <w:rsid w:val="009D3087"/>
    <w:rsid w:val="009D48E3"/>
    <w:rsid w:val="009D4CD2"/>
    <w:rsid w:val="009D65DE"/>
    <w:rsid w:val="009D6D7D"/>
    <w:rsid w:val="009D6FAD"/>
    <w:rsid w:val="009E1610"/>
    <w:rsid w:val="009E3A49"/>
    <w:rsid w:val="009E5A8A"/>
    <w:rsid w:val="009E71D6"/>
    <w:rsid w:val="009E73C6"/>
    <w:rsid w:val="009F0D86"/>
    <w:rsid w:val="009F1C4E"/>
    <w:rsid w:val="009F3A8E"/>
    <w:rsid w:val="009F6EC8"/>
    <w:rsid w:val="009F707E"/>
    <w:rsid w:val="009F7E01"/>
    <w:rsid w:val="00A0076B"/>
    <w:rsid w:val="00A009AB"/>
    <w:rsid w:val="00A01CAC"/>
    <w:rsid w:val="00A021CD"/>
    <w:rsid w:val="00A0410C"/>
    <w:rsid w:val="00A11A85"/>
    <w:rsid w:val="00A15282"/>
    <w:rsid w:val="00A169EB"/>
    <w:rsid w:val="00A22875"/>
    <w:rsid w:val="00A23199"/>
    <w:rsid w:val="00A252F7"/>
    <w:rsid w:val="00A253BA"/>
    <w:rsid w:val="00A26091"/>
    <w:rsid w:val="00A261B6"/>
    <w:rsid w:val="00A3019C"/>
    <w:rsid w:val="00A32780"/>
    <w:rsid w:val="00A34599"/>
    <w:rsid w:val="00A37AC9"/>
    <w:rsid w:val="00A41AEB"/>
    <w:rsid w:val="00A4222F"/>
    <w:rsid w:val="00A42D69"/>
    <w:rsid w:val="00A46FED"/>
    <w:rsid w:val="00A479F0"/>
    <w:rsid w:val="00A47BFA"/>
    <w:rsid w:val="00A52912"/>
    <w:rsid w:val="00A54412"/>
    <w:rsid w:val="00A54FCA"/>
    <w:rsid w:val="00A56137"/>
    <w:rsid w:val="00A57227"/>
    <w:rsid w:val="00A57A0F"/>
    <w:rsid w:val="00A63DBE"/>
    <w:rsid w:val="00A665DA"/>
    <w:rsid w:val="00A6727F"/>
    <w:rsid w:val="00A67DE1"/>
    <w:rsid w:val="00A703CE"/>
    <w:rsid w:val="00A70F41"/>
    <w:rsid w:val="00A765F2"/>
    <w:rsid w:val="00A76FF5"/>
    <w:rsid w:val="00A807E9"/>
    <w:rsid w:val="00A81ACD"/>
    <w:rsid w:val="00A829DD"/>
    <w:rsid w:val="00A82E96"/>
    <w:rsid w:val="00A837CE"/>
    <w:rsid w:val="00A851C9"/>
    <w:rsid w:val="00A85F3E"/>
    <w:rsid w:val="00A85FE4"/>
    <w:rsid w:val="00A900FE"/>
    <w:rsid w:val="00A90D63"/>
    <w:rsid w:val="00A919E0"/>
    <w:rsid w:val="00A91D94"/>
    <w:rsid w:val="00A94C65"/>
    <w:rsid w:val="00A94D98"/>
    <w:rsid w:val="00A95AC4"/>
    <w:rsid w:val="00A96407"/>
    <w:rsid w:val="00A96C5C"/>
    <w:rsid w:val="00A96DD3"/>
    <w:rsid w:val="00A96F6E"/>
    <w:rsid w:val="00A972DF"/>
    <w:rsid w:val="00AA02D5"/>
    <w:rsid w:val="00AA26A3"/>
    <w:rsid w:val="00AA7588"/>
    <w:rsid w:val="00AB0DAD"/>
    <w:rsid w:val="00AB18A4"/>
    <w:rsid w:val="00AB3530"/>
    <w:rsid w:val="00AB4567"/>
    <w:rsid w:val="00AB73B2"/>
    <w:rsid w:val="00AB73BB"/>
    <w:rsid w:val="00AB7855"/>
    <w:rsid w:val="00AB7B34"/>
    <w:rsid w:val="00AC0C73"/>
    <w:rsid w:val="00AC111C"/>
    <w:rsid w:val="00AC18EA"/>
    <w:rsid w:val="00AC1DAA"/>
    <w:rsid w:val="00AC21EA"/>
    <w:rsid w:val="00AC222A"/>
    <w:rsid w:val="00AC25C0"/>
    <w:rsid w:val="00AC39A4"/>
    <w:rsid w:val="00AC3C15"/>
    <w:rsid w:val="00AC44B5"/>
    <w:rsid w:val="00AC46A3"/>
    <w:rsid w:val="00AD0891"/>
    <w:rsid w:val="00AD0935"/>
    <w:rsid w:val="00AD0C0A"/>
    <w:rsid w:val="00AD3143"/>
    <w:rsid w:val="00AD34E4"/>
    <w:rsid w:val="00AD402A"/>
    <w:rsid w:val="00AD44C5"/>
    <w:rsid w:val="00AD457A"/>
    <w:rsid w:val="00AD5EC8"/>
    <w:rsid w:val="00AD6957"/>
    <w:rsid w:val="00AD7294"/>
    <w:rsid w:val="00AD79EF"/>
    <w:rsid w:val="00AE0114"/>
    <w:rsid w:val="00AE0AC1"/>
    <w:rsid w:val="00AE10D2"/>
    <w:rsid w:val="00AE50BD"/>
    <w:rsid w:val="00AE5D8C"/>
    <w:rsid w:val="00AE680F"/>
    <w:rsid w:val="00AE6822"/>
    <w:rsid w:val="00AF0225"/>
    <w:rsid w:val="00AF06B1"/>
    <w:rsid w:val="00AF35F0"/>
    <w:rsid w:val="00AF6ED2"/>
    <w:rsid w:val="00AF7A12"/>
    <w:rsid w:val="00B018D4"/>
    <w:rsid w:val="00B02E1F"/>
    <w:rsid w:val="00B033CE"/>
    <w:rsid w:val="00B059F3"/>
    <w:rsid w:val="00B07771"/>
    <w:rsid w:val="00B1102A"/>
    <w:rsid w:val="00B12112"/>
    <w:rsid w:val="00B1345A"/>
    <w:rsid w:val="00B16918"/>
    <w:rsid w:val="00B176CD"/>
    <w:rsid w:val="00B20C50"/>
    <w:rsid w:val="00B234DA"/>
    <w:rsid w:val="00B248C8"/>
    <w:rsid w:val="00B25614"/>
    <w:rsid w:val="00B256A8"/>
    <w:rsid w:val="00B25F49"/>
    <w:rsid w:val="00B3115D"/>
    <w:rsid w:val="00B32304"/>
    <w:rsid w:val="00B32E09"/>
    <w:rsid w:val="00B35602"/>
    <w:rsid w:val="00B356E4"/>
    <w:rsid w:val="00B4036A"/>
    <w:rsid w:val="00B405C1"/>
    <w:rsid w:val="00B47022"/>
    <w:rsid w:val="00B470B0"/>
    <w:rsid w:val="00B51722"/>
    <w:rsid w:val="00B52CD1"/>
    <w:rsid w:val="00B565DD"/>
    <w:rsid w:val="00B57697"/>
    <w:rsid w:val="00B57F6B"/>
    <w:rsid w:val="00B61467"/>
    <w:rsid w:val="00B63FF0"/>
    <w:rsid w:val="00B641EA"/>
    <w:rsid w:val="00B64CD0"/>
    <w:rsid w:val="00B67B52"/>
    <w:rsid w:val="00B70FCE"/>
    <w:rsid w:val="00B713B1"/>
    <w:rsid w:val="00B727DE"/>
    <w:rsid w:val="00B74CB7"/>
    <w:rsid w:val="00B75EE8"/>
    <w:rsid w:val="00B76101"/>
    <w:rsid w:val="00B769B1"/>
    <w:rsid w:val="00B7725E"/>
    <w:rsid w:val="00B81D03"/>
    <w:rsid w:val="00B81EEC"/>
    <w:rsid w:val="00B820DE"/>
    <w:rsid w:val="00B83DFB"/>
    <w:rsid w:val="00B84B48"/>
    <w:rsid w:val="00B8548E"/>
    <w:rsid w:val="00B85AAA"/>
    <w:rsid w:val="00B86915"/>
    <w:rsid w:val="00B872F1"/>
    <w:rsid w:val="00B914C1"/>
    <w:rsid w:val="00B92BA8"/>
    <w:rsid w:val="00B944BB"/>
    <w:rsid w:val="00B946EE"/>
    <w:rsid w:val="00B95237"/>
    <w:rsid w:val="00B95EF4"/>
    <w:rsid w:val="00B96EF4"/>
    <w:rsid w:val="00BA2530"/>
    <w:rsid w:val="00BA2F03"/>
    <w:rsid w:val="00BA3B69"/>
    <w:rsid w:val="00BA44D2"/>
    <w:rsid w:val="00BA5069"/>
    <w:rsid w:val="00BA5B60"/>
    <w:rsid w:val="00BA708C"/>
    <w:rsid w:val="00BB1824"/>
    <w:rsid w:val="00BB20E4"/>
    <w:rsid w:val="00BB34EC"/>
    <w:rsid w:val="00BB417F"/>
    <w:rsid w:val="00BB45D1"/>
    <w:rsid w:val="00BB6EF6"/>
    <w:rsid w:val="00BC56FB"/>
    <w:rsid w:val="00BC6B30"/>
    <w:rsid w:val="00BD20D0"/>
    <w:rsid w:val="00BD5704"/>
    <w:rsid w:val="00BE0DFB"/>
    <w:rsid w:val="00BE1FF9"/>
    <w:rsid w:val="00BE76D2"/>
    <w:rsid w:val="00BF0170"/>
    <w:rsid w:val="00BF091A"/>
    <w:rsid w:val="00BF0FE6"/>
    <w:rsid w:val="00BF1215"/>
    <w:rsid w:val="00BF47B8"/>
    <w:rsid w:val="00BF4876"/>
    <w:rsid w:val="00BF5EF2"/>
    <w:rsid w:val="00BF7AE5"/>
    <w:rsid w:val="00BF7D48"/>
    <w:rsid w:val="00C01201"/>
    <w:rsid w:val="00C01B40"/>
    <w:rsid w:val="00C02B30"/>
    <w:rsid w:val="00C033B9"/>
    <w:rsid w:val="00C03A8D"/>
    <w:rsid w:val="00C044A1"/>
    <w:rsid w:val="00C04E20"/>
    <w:rsid w:val="00C1039B"/>
    <w:rsid w:val="00C106E0"/>
    <w:rsid w:val="00C12C98"/>
    <w:rsid w:val="00C13C34"/>
    <w:rsid w:val="00C1734E"/>
    <w:rsid w:val="00C24B6B"/>
    <w:rsid w:val="00C2588F"/>
    <w:rsid w:val="00C27DC7"/>
    <w:rsid w:val="00C27FC7"/>
    <w:rsid w:val="00C308AC"/>
    <w:rsid w:val="00C30B8B"/>
    <w:rsid w:val="00C31441"/>
    <w:rsid w:val="00C324D8"/>
    <w:rsid w:val="00C33D1D"/>
    <w:rsid w:val="00C3444E"/>
    <w:rsid w:val="00C37F63"/>
    <w:rsid w:val="00C41A42"/>
    <w:rsid w:val="00C42310"/>
    <w:rsid w:val="00C43400"/>
    <w:rsid w:val="00C45CCC"/>
    <w:rsid w:val="00C46EDD"/>
    <w:rsid w:val="00C52D89"/>
    <w:rsid w:val="00C54AD5"/>
    <w:rsid w:val="00C552C6"/>
    <w:rsid w:val="00C55967"/>
    <w:rsid w:val="00C56F7E"/>
    <w:rsid w:val="00C5772F"/>
    <w:rsid w:val="00C579E3"/>
    <w:rsid w:val="00C60802"/>
    <w:rsid w:val="00C61558"/>
    <w:rsid w:val="00C7275C"/>
    <w:rsid w:val="00C72CD3"/>
    <w:rsid w:val="00C73893"/>
    <w:rsid w:val="00C7417A"/>
    <w:rsid w:val="00C743A3"/>
    <w:rsid w:val="00C75002"/>
    <w:rsid w:val="00C838D3"/>
    <w:rsid w:val="00C83BA9"/>
    <w:rsid w:val="00C841C7"/>
    <w:rsid w:val="00C90597"/>
    <w:rsid w:val="00C91773"/>
    <w:rsid w:val="00C92AA2"/>
    <w:rsid w:val="00C936BB"/>
    <w:rsid w:val="00C973F2"/>
    <w:rsid w:val="00CA5085"/>
    <w:rsid w:val="00CA727A"/>
    <w:rsid w:val="00CB028E"/>
    <w:rsid w:val="00CB0BD8"/>
    <w:rsid w:val="00CB1E11"/>
    <w:rsid w:val="00CB1E2F"/>
    <w:rsid w:val="00CB2787"/>
    <w:rsid w:val="00CB2D67"/>
    <w:rsid w:val="00CB3D7C"/>
    <w:rsid w:val="00CB43FC"/>
    <w:rsid w:val="00CB5AC7"/>
    <w:rsid w:val="00CB6CF7"/>
    <w:rsid w:val="00CB79B4"/>
    <w:rsid w:val="00CC252E"/>
    <w:rsid w:val="00CC2C46"/>
    <w:rsid w:val="00CC417E"/>
    <w:rsid w:val="00CC4489"/>
    <w:rsid w:val="00CC4F66"/>
    <w:rsid w:val="00CC7C9A"/>
    <w:rsid w:val="00CD1269"/>
    <w:rsid w:val="00CD3413"/>
    <w:rsid w:val="00CD6F50"/>
    <w:rsid w:val="00CD7F96"/>
    <w:rsid w:val="00CE09C3"/>
    <w:rsid w:val="00CE1082"/>
    <w:rsid w:val="00CE293E"/>
    <w:rsid w:val="00CE3A92"/>
    <w:rsid w:val="00CE4768"/>
    <w:rsid w:val="00CF1300"/>
    <w:rsid w:val="00CF17FD"/>
    <w:rsid w:val="00CF4511"/>
    <w:rsid w:val="00D01B06"/>
    <w:rsid w:val="00D01CF0"/>
    <w:rsid w:val="00D01D12"/>
    <w:rsid w:val="00D02503"/>
    <w:rsid w:val="00D040D8"/>
    <w:rsid w:val="00D043CE"/>
    <w:rsid w:val="00D04B76"/>
    <w:rsid w:val="00D06244"/>
    <w:rsid w:val="00D0782F"/>
    <w:rsid w:val="00D07F96"/>
    <w:rsid w:val="00D12493"/>
    <w:rsid w:val="00D12668"/>
    <w:rsid w:val="00D12A80"/>
    <w:rsid w:val="00D14B36"/>
    <w:rsid w:val="00D15D9A"/>
    <w:rsid w:val="00D16125"/>
    <w:rsid w:val="00D16E0E"/>
    <w:rsid w:val="00D21222"/>
    <w:rsid w:val="00D231C7"/>
    <w:rsid w:val="00D24493"/>
    <w:rsid w:val="00D30D49"/>
    <w:rsid w:val="00D31423"/>
    <w:rsid w:val="00D314E8"/>
    <w:rsid w:val="00D32CF6"/>
    <w:rsid w:val="00D34D30"/>
    <w:rsid w:val="00D350C4"/>
    <w:rsid w:val="00D354D6"/>
    <w:rsid w:val="00D40EFC"/>
    <w:rsid w:val="00D4450D"/>
    <w:rsid w:val="00D46667"/>
    <w:rsid w:val="00D50EDA"/>
    <w:rsid w:val="00D54AB9"/>
    <w:rsid w:val="00D553C8"/>
    <w:rsid w:val="00D56370"/>
    <w:rsid w:val="00D569A7"/>
    <w:rsid w:val="00D56AE0"/>
    <w:rsid w:val="00D56B2B"/>
    <w:rsid w:val="00D56E95"/>
    <w:rsid w:val="00D5724B"/>
    <w:rsid w:val="00D574F0"/>
    <w:rsid w:val="00D57C2E"/>
    <w:rsid w:val="00D62BCA"/>
    <w:rsid w:val="00D631C5"/>
    <w:rsid w:val="00D65B1E"/>
    <w:rsid w:val="00D67C03"/>
    <w:rsid w:val="00D7189E"/>
    <w:rsid w:val="00D73695"/>
    <w:rsid w:val="00D74554"/>
    <w:rsid w:val="00D77650"/>
    <w:rsid w:val="00D77AB5"/>
    <w:rsid w:val="00D84EE6"/>
    <w:rsid w:val="00D921CF"/>
    <w:rsid w:val="00D922F6"/>
    <w:rsid w:val="00D939BB"/>
    <w:rsid w:val="00D95253"/>
    <w:rsid w:val="00D95903"/>
    <w:rsid w:val="00D9642C"/>
    <w:rsid w:val="00DA2145"/>
    <w:rsid w:val="00DA2232"/>
    <w:rsid w:val="00DA35E8"/>
    <w:rsid w:val="00DA3E60"/>
    <w:rsid w:val="00DA4601"/>
    <w:rsid w:val="00DA6289"/>
    <w:rsid w:val="00DA66B1"/>
    <w:rsid w:val="00DA7531"/>
    <w:rsid w:val="00DA7F11"/>
    <w:rsid w:val="00DB00E4"/>
    <w:rsid w:val="00DB4341"/>
    <w:rsid w:val="00DB47CD"/>
    <w:rsid w:val="00DB6388"/>
    <w:rsid w:val="00DC01C3"/>
    <w:rsid w:val="00DC18CA"/>
    <w:rsid w:val="00DC1D76"/>
    <w:rsid w:val="00DD0041"/>
    <w:rsid w:val="00DD08A8"/>
    <w:rsid w:val="00DD1A21"/>
    <w:rsid w:val="00DD234E"/>
    <w:rsid w:val="00DD3707"/>
    <w:rsid w:val="00DD45A5"/>
    <w:rsid w:val="00DD4B19"/>
    <w:rsid w:val="00DD648E"/>
    <w:rsid w:val="00DE1433"/>
    <w:rsid w:val="00DE3C81"/>
    <w:rsid w:val="00DE3DFC"/>
    <w:rsid w:val="00DE45BF"/>
    <w:rsid w:val="00DE45E2"/>
    <w:rsid w:val="00DE5D93"/>
    <w:rsid w:val="00DF02FA"/>
    <w:rsid w:val="00DF1C3F"/>
    <w:rsid w:val="00DF20D6"/>
    <w:rsid w:val="00DF364C"/>
    <w:rsid w:val="00DF6221"/>
    <w:rsid w:val="00DF6394"/>
    <w:rsid w:val="00DF712C"/>
    <w:rsid w:val="00DF7BD1"/>
    <w:rsid w:val="00E00B5E"/>
    <w:rsid w:val="00E00D13"/>
    <w:rsid w:val="00E011A8"/>
    <w:rsid w:val="00E04CB9"/>
    <w:rsid w:val="00E052A8"/>
    <w:rsid w:val="00E107C2"/>
    <w:rsid w:val="00E11005"/>
    <w:rsid w:val="00E11F47"/>
    <w:rsid w:val="00E124F9"/>
    <w:rsid w:val="00E14DD0"/>
    <w:rsid w:val="00E14ED7"/>
    <w:rsid w:val="00E152EE"/>
    <w:rsid w:val="00E15677"/>
    <w:rsid w:val="00E17649"/>
    <w:rsid w:val="00E2013E"/>
    <w:rsid w:val="00E210EA"/>
    <w:rsid w:val="00E21F95"/>
    <w:rsid w:val="00E222E5"/>
    <w:rsid w:val="00E23707"/>
    <w:rsid w:val="00E25370"/>
    <w:rsid w:val="00E30084"/>
    <w:rsid w:val="00E3128E"/>
    <w:rsid w:val="00E330CD"/>
    <w:rsid w:val="00E35BEC"/>
    <w:rsid w:val="00E3665C"/>
    <w:rsid w:val="00E3693D"/>
    <w:rsid w:val="00E36C69"/>
    <w:rsid w:val="00E40C40"/>
    <w:rsid w:val="00E434FD"/>
    <w:rsid w:val="00E43CCD"/>
    <w:rsid w:val="00E44ECD"/>
    <w:rsid w:val="00E45962"/>
    <w:rsid w:val="00E51A5E"/>
    <w:rsid w:val="00E54D32"/>
    <w:rsid w:val="00E60250"/>
    <w:rsid w:val="00E611A3"/>
    <w:rsid w:val="00E62620"/>
    <w:rsid w:val="00E62F46"/>
    <w:rsid w:val="00E62F9D"/>
    <w:rsid w:val="00E637CB"/>
    <w:rsid w:val="00E64163"/>
    <w:rsid w:val="00E6427E"/>
    <w:rsid w:val="00E64A62"/>
    <w:rsid w:val="00E64F77"/>
    <w:rsid w:val="00E66DA6"/>
    <w:rsid w:val="00E67DA0"/>
    <w:rsid w:val="00E73BDB"/>
    <w:rsid w:val="00E74AEA"/>
    <w:rsid w:val="00E74BBE"/>
    <w:rsid w:val="00E74E7E"/>
    <w:rsid w:val="00E77D4B"/>
    <w:rsid w:val="00E802A5"/>
    <w:rsid w:val="00E82531"/>
    <w:rsid w:val="00E844BE"/>
    <w:rsid w:val="00E84644"/>
    <w:rsid w:val="00E864DC"/>
    <w:rsid w:val="00E92F15"/>
    <w:rsid w:val="00E93F60"/>
    <w:rsid w:val="00E94FE0"/>
    <w:rsid w:val="00E95E37"/>
    <w:rsid w:val="00E9631A"/>
    <w:rsid w:val="00E96327"/>
    <w:rsid w:val="00E96FDD"/>
    <w:rsid w:val="00E97488"/>
    <w:rsid w:val="00EA05B9"/>
    <w:rsid w:val="00EA1069"/>
    <w:rsid w:val="00EA192E"/>
    <w:rsid w:val="00EA1A2B"/>
    <w:rsid w:val="00EA2FEF"/>
    <w:rsid w:val="00EA4514"/>
    <w:rsid w:val="00EA4862"/>
    <w:rsid w:val="00EA48EA"/>
    <w:rsid w:val="00EA4E0E"/>
    <w:rsid w:val="00EA729E"/>
    <w:rsid w:val="00EB1ED4"/>
    <w:rsid w:val="00EB3BAF"/>
    <w:rsid w:val="00EB57C1"/>
    <w:rsid w:val="00EB619B"/>
    <w:rsid w:val="00EB7152"/>
    <w:rsid w:val="00EB7379"/>
    <w:rsid w:val="00EB77F1"/>
    <w:rsid w:val="00EB789B"/>
    <w:rsid w:val="00EC126A"/>
    <w:rsid w:val="00EC26AD"/>
    <w:rsid w:val="00EC49EA"/>
    <w:rsid w:val="00EC4DDD"/>
    <w:rsid w:val="00ED27F9"/>
    <w:rsid w:val="00ED2E56"/>
    <w:rsid w:val="00ED714F"/>
    <w:rsid w:val="00ED75B1"/>
    <w:rsid w:val="00ED7A8A"/>
    <w:rsid w:val="00EE0955"/>
    <w:rsid w:val="00EE7091"/>
    <w:rsid w:val="00EF0C0E"/>
    <w:rsid w:val="00EF0D94"/>
    <w:rsid w:val="00EF5750"/>
    <w:rsid w:val="00EF7F26"/>
    <w:rsid w:val="00F01C4F"/>
    <w:rsid w:val="00F048E4"/>
    <w:rsid w:val="00F04984"/>
    <w:rsid w:val="00F055DE"/>
    <w:rsid w:val="00F058D0"/>
    <w:rsid w:val="00F077B8"/>
    <w:rsid w:val="00F10BDD"/>
    <w:rsid w:val="00F14898"/>
    <w:rsid w:val="00F1638F"/>
    <w:rsid w:val="00F16BFB"/>
    <w:rsid w:val="00F22232"/>
    <w:rsid w:val="00F24D66"/>
    <w:rsid w:val="00F25EC9"/>
    <w:rsid w:val="00F3175A"/>
    <w:rsid w:val="00F31F5F"/>
    <w:rsid w:val="00F33F89"/>
    <w:rsid w:val="00F36002"/>
    <w:rsid w:val="00F37A6B"/>
    <w:rsid w:val="00F41710"/>
    <w:rsid w:val="00F41F18"/>
    <w:rsid w:val="00F432DA"/>
    <w:rsid w:val="00F45A97"/>
    <w:rsid w:val="00F46D3A"/>
    <w:rsid w:val="00F50F5C"/>
    <w:rsid w:val="00F52407"/>
    <w:rsid w:val="00F54481"/>
    <w:rsid w:val="00F555BD"/>
    <w:rsid w:val="00F55DF6"/>
    <w:rsid w:val="00F61638"/>
    <w:rsid w:val="00F65B60"/>
    <w:rsid w:val="00F66025"/>
    <w:rsid w:val="00F6703F"/>
    <w:rsid w:val="00F67695"/>
    <w:rsid w:val="00F67DF4"/>
    <w:rsid w:val="00F67F69"/>
    <w:rsid w:val="00F70CE2"/>
    <w:rsid w:val="00F7186C"/>
    <w:rsid w:val="00F71FE8"/>
    <w:rsid w:val="00F752FE"/>
    <w:rsid w:val="00F77E09"/>
    <w:rsid w:val="00F8174E"/>
    <w:rsid w:val="00F83E75"/>
    <w:rsid w:val="00F87699"/>
    <w:rsid w:val="00F87B6F"/>
    <w:rsid w:val="00F87EC4"/>
    <w:rsid w:val="00F90112"/>
    <w:rsid w:val="00F90F66"/>
    <w:rsid w:val="00F91384"/>
    <w:rsid w:val="00F93C7D"/>
    <w:rsid w:val="00F941FC"/>
    <w:rsid w:val="00F94720"/>
    <w:rsid w:val="00F94C11"/>
    <w:rsid w:val="00F95128"/>
    <w:rsid w:val="00FA0FA6"/>
    <w:rsid w:val="00FA194F"/>
    <w:rsid w:val="00FB0326"/>
    <w:rsid w:val="00FB1655"/>
    <w:rsid w:val="00FB34F8"/>
    <w:rsid w:val="00FB42F1"/>
    <w:rsid w:val="00FB4411"/>
    <w:rsid w:val="00FB68BE"/>
    <w:rsid w:val="00FB777F"/>
    <w:rsid w:val="00FB7CF0"/>
    <w:rsid w:val="00FC0F45"/>
    <w:rsid w:val="00FC1AA2"/>
    <w:rsid w:val="00FC2161"/>
    <w:rsid w:val="00FC339B"/>
    <w:rsid w:val="00FC5392"/>
    <w:rsid w:val="00FC76B9"/>
    <w:rsid w:val="00FC7E0D"/>
    <w:rsid w:val="00FD0E7B"/>
    <w:rsid w:val="00FD233E"/>
    <w:rsid w:val="00FD24A1"/>
    <w:rsid w:val="00FD35AD"/>
    <w:rsid w:val="00FD381E"/>
    <w:rsid w:val="00FD6899"/>
    <w:rsid w:val="00FD68E8"/>
    <w:rsid w:val="00FD799C"/>
    <w:rsid w:val="00FE05DC"/>
    <w:rsid w:val="00FE06AB"/>
    <w:rsid w:val="00FE06CC"/>
    <w:rsid w:val="00FE1AEE"/>
    <w:rsid w:val="00FE70F1"/>
    <w:rsid w:val="00FE7130"/>
    <w:rsid w:val="00FF07B3"/>
    <w:rsid w:val="00FF1C94"/>
    <w:rsid w:val="00FF2F9A"/>
    <w:rsid w:val="00FF3F66"/>
    <w:rsid w:val="00FF4451"/>
    <w:rsid w:val="00FF4FAC"/>
    <w:rsid w:val="00FF54F2"/>
    <w:rsid w:val="00FF7BEF"/>
    <w:rsid w:val="4A970EA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600" w:lineRule="exact"/>
      <w:ind w:firstLine="200" w:firstLineChars="200"/>
      <w:jc w:val="both"/>
    </w:pPr>
    <w:rPr>
      <w:rFonts w:ascii="Times New Roman" w:hAnsi="Times New Roman" w:eastAsia="方正仿宋_GBK" w:cs="Times New Roman"/>
      <w:kern w:val="2"/>
      <w:sz w:val="32"/>
      <w:szCs w:val="28"/>
      <w:lang w:val="en-US" w:eastAsia="zh-CN" w:bidi="ar-SA"/>
    </w:rPr>
  </w:style>
  <w:style w:type="paragraph" w:styleId="2">
    <w:name w:val="heading 1"/>
    <w:basedOn w:val="1"/>
    <w:next w:val="1"/>
    <w:link w:val="29"/>
    <w:qFormat/>
    <w:uiPriority w:val="99"/>
    <w:pPr>
      <w:keepLines/>
      <w:widowControl/>
      <w:snapToGrid/>
      <w:spacing w:line="560" w:lineRule="exact"/>
      <w:jc w:val="left"/>
      <w:outlineLvl w:val="0"/>
    </w:pPr>
    <w:rPr>
      <w:rFonts w:eastAsia="黑体"/>
      <w:b/>
      <w:bCs/>
      <w:kern w:val="44"/>
      <w:szCs w:val="44"/>
    </w:rPr>
  </w:style>
  <w:style w:type="paragraph" w:styleId="3">
    <w:name w:val="heading 2"/>
    <w:basedOn w:val="1"/>
    <w:next w:val="1"/>
    <w:link w:val="30"/>
    <w:qFormat/>
    <w:uiPriority w:val="99"/>
    <w:pPr>
      <w:keepNext/>
      <w:widowControl/>
      <w:snapToGrid/>
      <w:ind w:firstLine="643"/>
      <w:jc w:val="left"/>
      <w:outlineLvl w:val="1"/>
    </w:pPr>
    <w:rPr>
      <w:b/>
      <w:bCs/>
    </w:rPr>
  </w:style>
  <w:style w:type="paragraph" w:styleId="4">
    <w:name w:val="heading 3"/>
    <w:basedOn w:val="1"/>
    <w:next w:val="1"/>
    <w:link w:val="31"/>
    <w:qFormat/>
    <w:uiPriority w:val="99"/>
    <w:pPr>
      <w:keepNext/>
      <w:snapToGrid/>
      <w:ind w:firstLine="643"/>
      <w:outlineLvl w:val="2"/>
    </w:pPr>
    <w:rPr>
      <w:b/>
      <w:bCs/>
      <w:szCs w:val="32"/>
    </w:rPr>
  </w:style>
  <w:style w:type="paragraph" w:styleId="5">
    <w:name w:val="heading 4"/>
    <w:basedOn w:val="1"/>
    <w:next w:val="1"/>
    <w:link w:val="32"/>
    <w:qFormat/>
    <w:uiPriority w:val="99"/>
    <w:pPr>
      <w:keepNext/>
      <w:keepLines/>
      <w:outlineLvl w:val="3"/>
    </w:pPr>
    <w:rPr>
      <w:rFonts w:eastAsia="宋体"/>
      <w:b/>
      <w:bCs/>
      <w:sz w:val="28"/>
    </w:rPr>
  </w:style>
  <w:style w:type="paragraph" w:styleId="6">
    <w:name w:val="heading 5"/>
    <w:basedOn w:val="1"/>
    <w:next w:val="1"/>
    <w:link w:val="33"/>
    <w:qFormat/>
    <w:uiPriority w:val="99"/>
    <w:pPr>
      <w:keepNext/>
      <w:keepLines/>
      <w:spacing w:before="280" w:after="290" w:line="376" w:lineRule="atLeast"/>
      <w:outlineLvl w:val="4"/>
    </w:pPr>
    <w:rPr>
      <w:b/>
      <w:bCs/>
      <w:sz w:val="28"/>
    </w:rPr>
  </w:style>
  <w:style w:type="character" w:default="1" w:styleId="24">
    <w:name w:val="Default Paragraph Font"/>
    <w:semiHidden/>
    <w:uiPriority w:val="99"/>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42"/>
    <w:semiHidden/>
    <w:qFormat/>
    <w:uiPriority w:val="99"/>
    <w:rPr>
      <w:b/>
      <w:bCs/>
    </w:rPr>
  </w:style>
  <w:style w:type="paragraph" w:styleId="8">
    <w:name w:val="annotation text"/>
    <w:basedOn w:val="1"/>
    <w:link w:val="41"/>
    <w:qFormat/>
    <w:uiPriority w:val="99"/>
    <w:pPr>
      <w:jc w:val="left"/>
    </w:pPr>
  </w:style>
  <w:style w:type="paragraph" w:styleId="9">
    <w:name w:val="toc 7"/>
    <w:basedOn w:val="1"/>
    <w:next w:val="1"/>
    <w:qFormat/>
    <w:uiPriority w:val="99"/>
    <w:pPr>
      <w:ind w:left="1920"/>
      <w:jc w:val="left"/>
    </w:pPr>
    <w:rPr>
      <w:rFonts w:ascii="等线" w:eastAsia="等线"/>
      <w:sz w:val="18"/>
      <w:szCs w:val="18"/>
    </w:rPr>
  </w:style>
  <w:style w:type="paragraph" w:styleId="10">
    <w:name w:val="Body Text Indent"/>
    <w:basedOn w:val="1"/>
    <w:link w:val="39"/>
    <w:semiHidden/>
    <w:qFormat/>
    <w:uiPriority w:val="99"/>
    <w:pPr>
      <w:spacing w:after="120"/>
      <w:ind w:left="420" w:leftChars="200"/>
    </w:pPr>
  </w:style>
  <w:style w:type="paragraph" w:styleId="11">
    <w:name w:val="toc 5"/>
    <w:basedOn w:val="1"/>
    <w:next w:val="1"/>
    <w:qFormat/>
    <w:uiPriority w:val="99"/>
    <w:pPr>
      <w:ind w:left="1280"/>
      <w:jc w:val="left"/>
    </w:pPr>
    <w:rPr>
      <w:rFonts w:ascii="等线" w:eastAsia="等线"/>
      <w:sz w:val="18"/>
      <w:szCs w:val="18"/>
    </w:rPr>
  </w:style>
  <w:style w:type="paragraph" w:styleId="12">
    <w:name w:val="toc 3"/>
    <w:basedOn w:val="1"/>
    <w:next w:val="1"/>
    <w:qFormat/>
    <w:uiPriority w:val="99"/>
    <w:pPr>
      <w:ind w:left="640"/>
      <w:jc w:val="left"/>
    </w:pPr>
    <w:rPr>
      <w:rFonts w:ascii="等线" w:eastAsia="等线"/>
      <w:i/>
      <w:iCs/>
      <w:sz w:val="20"/>
      <w:szCs w:val="20"/>
    </w:rPr>
  </w:style>
  <w:style w:type="paragraph" w:styleId="13">
    <w:name w:val="toc 8"/>
    <w:basedOn w:val="1"/>
    <w:next w:val="1"/>
    <w:qFormat/>
    <w:uiPriority w:val="99"/>
    <w:pPr>
      <w:ind w:left="2240"/>
      <w:jc w:val="left"/>
    </w:pPr>
    <w:rPr>
      <w:rFonts w:ascii="等线" w:eastAsia="等线"/>
      <w:sz w:val="18"/>
      <w:szCs w:val="18"/>
    </w:rPr>
  </w:style>
  <w:style w:type="paragraph" w:styleId="14">
    <w:name w:val="Balloon Text"/>
    <w:basedOn w:val="1"/>
    <w:link w:val="37"/>
    <w:semiHidden/>
    <w:qFormat/>
    <w:uiPriority w:val="99"/>
    <w:pPr>
      <w:spacing w:line="240" w:lineRule="auto"/>
    </w:pPr>
    <w:rPr>
      <w:sz w:val="18"/>
      <w:szCs w:val="18"/>
    </w:rPr>
  </w:style>
  <w:style w:type="paragraph" w:styleId="15">
    <w:name w:val="footer"/>
    <w:basedOn w:val="1"/>
    <w:link w:val="35"/>
    <w:qFormat/>
    <w:uiPriority w:val="99"/>
    <w:pPr>
      <w:tabs>
        <w:tab w:val="center" w:pos="4153"/>
        <w:tab w:val="right" w:pos="8306"/>
      </w:tabs>
      <w:jc w:val="left"/>
    </w:pPr>
    <w:rPr>
      <w:sz w:val="18"/>
      <w:szCs w:val="18"/>
    </w:rPr>
  </w:style>
  <w:style w:type="paragraph" w:styleId="16">
    <w:name w:val="Body Text First Indent 2"/>
    <w:basedOn w:val="10"/>
    <w:link w:val="40"/>
    <w:semiHidden/>
    <w:qFormat/>
    <w:uiPriority w:val="99"/>
    <w:pPr>
      <w:ind w:firstLine="420"/>
    </w:pPr>
  </w:style>
  <w:style w:type="paragraph" w:styleId="17">
    <w:name w:val="header"/>
    <w:basedOn w:val="1"/>
    <w:link w:val="34"/>
    <w:qFormat/>
    <w:uiPriority w:val="99"/>
    <w:pPr>
      <w:pBdr>
        <w:bottom w:val="single" w:color="auto" w:sz="6" w:space="1"/>
      </w:pBdr>
      <w:tabs>
        <w:tab w:val="center" w:pos="4153"/>
        <w:tab w:val="right" w:pos="8306"/>
      </w:tabs>
      <w:jc w:val="center"/>
    </w:pPr>
    <w:rPr>
      <w:sz w:val="18"/>
      <w:szCs w:val="18"/>
    </w:rPr>
  </w:style>
  <w:style w:type="paragraph" w:styleId="18">
    <w:name w:val="toc 1"/>
    <w:basedOn w:val="1"/>
    <w:next w:val="1"/>
    <w:qFormat/>
    <w:uiPriority w:val="99"/>
    <w:pPr>
      <w:tabs>
        <w:tab w:val="right" w:leader="dot" w:pos="8296"/>
      </w:tabs>
      <w:spacing w:before="120" w:after="120" w:line="240" w:lineRule="auto"/>
      <w:ind w:firstLine="424" w:firstLineChars="151"/>
      <w:jc w:val="left"/>
    </w:pPr>
    <w:rPr>
      <w:rFonts w:ascii="等线" w:eastAsia="等线"/>
      <w:b/>
      <w:bCs/>
      <w:caps/>
      <w:sz w:val="20"/>
      <w:szCs w:val="20"/>
    </w:rPr>
  </w:style>
  <w:style w:type="paragraph" w:styleId="19">
    <w:name w:val="toc 4"/>
    <w:basedOn w:val="1"/>
    <w:next w:val="1"/>
    <w:qFormat/>
    <w:uiPriority w:val="99"/>
    <w:pPr>
      <w:ind w:left="960"/>
      <w:jc w:val="left"/>
    </w:pPr>
    <w:rPr>
      <w:rFonts w:ascii="等线" w:eastAsia="等线"/>
      <w:sz w:val="18"/>
      <w:szCs w:val="18"/>
    </w:rPr>
  </w:style>
  <w:style w:type="paragraph" w:styleId="20">
    <w:name w:val="toc 6"/>
    <w:basedOn w:val="1"/>
    <w:next w:val="1"/>
    <w:qFormat/>
    <w:uiPriority w:val="99"/>
    <w:pPr>
      <w:ind w:left="1600"/>
      <w:jc w:val="left"/>
    </w:pPr>
    <w:rPr>
      <w:rFonts w:ascii="等线" w:eastAsia="等线"/>
      <w:sz w:val="18"/>
      <w:szCs w:val="18"/>
    </w:rPr>
  </w:style>
  <w:style w:type="paragraph" w:styleId="21">
    <w:name w:val="toc 2"/>
    <w:basedOn w:val="1"/>
    <w:next w:val="1"/>
    <w:qFormat/>
    <w:uiPriority w:val="99"/>
    <w:pPr>
      <w:ind w:left="320"/>
      <w:jc w:val="left"/>
    </w:pPr>
    <w:rPr>
      <w:rFonts w:ascii="等线" w:eastAsia="等线"/>
      <w:smallCaps/>
      <w:sz w:val="20"/>
      <w:szCs w:val="20"/>
    </w:rPr>
  </w:style>
  <w:style w:type="paragraph" w:styleId="22">
    <w:name w:val="toc 9"/>
    <w:basedOn w:val="1"/>
    <w:next w:val="1"/>
    <w:qFormat/>
    <w:uiPriority w:val="99"/>
    <w:pPr>
      <w:ind w:left="2560"/>
      <w:jc w:val="left"/>
    </w:pPr>
    <w:rPr>
      <w:rFonts w:ascii="等线" w:eastAsia="等线"/>
      <w:sz w:val="18"/>
      <w:szCs w:val="18"/>
    </w:rPr>
  </w:style>
  <w:style w:type="paragraph" w:styleId="23">
    <w:name w:val="Title"/>
    <w:basedOn w:val="1"/>
    <w:next w:val="1"/>
    <w:link w:val="47"/>
    <w:qFormat/>
    <w:uiPriority w:val="99"/>
    <w:pPr>
      <w:jc w:val="center"/>
    </w:pPr>
    <w:rPr>
      <w:rFonts w:eastAsia="黑体"/>
      <w:b/>
      <w:bCs/>
      <w:szCs w:val="32"/>
    </w:rPr>
  </w:style>
  <w:style w:type="character" w:styleId="25">
    <w:name w:val="Strong"/>
    <w:basedOn w:val="24"/>
    <w:qFormat/>
    <w:uiPriority w:val="99"/>
    <w:rPr>
      <w:rFonts w:cs="Times New Roman"/>
      <w:b/>
      <w:bCs/>
    </w:rPr>
  </w:style>
  <w:style w:type="character" w:styleId="26">
    <w:name w:val="Hyperlink"/>
    <w:basedOn w:val="24"/>
    <w:qFormat/>
    <w:uiPriority w:val="99"/>
    <w:rPr>
      <w:rFonts w:cs="Times New Roman"/>
      <w:color w:val="0563C1"/>
      <w:u w:val="single"/>
    </w:rPr>
  </w:style>
  <w:style w:type="character" w:styleId="27">
    <w:name w:val="annotation reference"/>
    <w:basedOn w:val="24"/>
    <w:semiHidden/>
    <w:qFormat/>
    <w:uiPriority w:val="99"/>
    <w:rPr>
      <w:rFonts w:cs="Times New Roman"/>
      <w:sz w:val="21"/>
      <w:szCs w:val="21"/>
    </w:rPr>
  </w:style>
  <w:style w:type="character" w:customStyle="1" w:styleId="29">
    <w:name w:val="Heading 1 Char"/>
    <w:basedOn w:val="24"/>
    <w:link w:val="2"/>
    <w:locked/>
    <w:uiPriority w:val="99"/>
    <w:rPr>
      <w:rFonts w:ascii="Times New Roman" w:hAnsi="Times New Roman" w:eastAsia="黑体" w:cs="Times New Roman"/>
      <w:b/>
      <w:bCs/>
      <w:kern w:val="44"/>
      <w:sz w:val="44"/>
      <w:szCs w:val="44"/>
      <w:lang w:val="en-US" w:eastAsia="zh-CN" w:bidi="ar-SA"/>
    </w:rPr>
  </w:style>
  <w:style w:type="character" w:customStyle="1" w:styleId="30">
    <w:name w:val="Heading 2 Char"/>
    <w:basedOn w:val="24"/>
    <w:link w:val="3"/>
    <w:qFormat/>
    <w:locked/>
    <w:uiPriority w:val="99"/>
    <w:rPr>
      <w:rFonts w:ascii="Times New Roman" w:hAnsi="Times New Roman" w:eastAsia="方正仿宋_GBK" w:cs="Times New Roman"/>
      <w:b/>
      <w:bCs/>
      <w:kern w:val="2"/>
      <w:sz w:val="28"/>
      <w:szCs w:val="28"/>
      <w:lang w:val="en-US" w:eastAsia="zh-CN" w:bidi="ar-SA"/>
    </w:rPr>
  </w:style>
  <w:style w:type="character" w:customStyle="1" w:styleId="31">
    <w:name w:val="Heading 3 Char"/>
    <w:basedOn w:val="24"/>
    <w:link w:val="4"/>
    <w:qFormat/>
    <w:locked/>
    <w:uiPriority w:val="99"/>
    <w:rPr>
      <w:rFonts w:ascii="Times New Roman" w:hAnsi="Times New Roman" w:eastAsia="方正仿宋_GBK" w:cs="Times New Roman"/>
      <w:b/>
      <w:bCs/>
      <w:sz w:val="32"/>
      <w:szCs w:val="32"/>
    </w:rPr>
  </w:style>
  <w:style w:type="character" w:customStyle="1" w:styleId="32">
    <w:name w:val="Heading 4 Char"/>
    <w:basedOn w:val="24"/>
    <w:link w:val="5"/>
    <w:qFormat/>
    <w:locked/>
    <w:uiPriority w:val="99"/>
    <w:rPr>
      <w:rFonts w:ascii="Times New Roman" w:hAnsi="Times New Roman" w:eastAsia="宋体" w:cs="Times New Roman"/>
      <w:b/>
      <w:bCs/>
      <w:sz w:val="28"/>
      <w:szCs w:val="28"/>
    </w:rPr>
  </w:style>
  <w:style w:type="character" w:customStyle="1" w:styleId="33">
    <w:name w:val="Heading 5 Char"/>
    <w:basedOn w:val="24"/>
    <w:link w:val="6"/>
    <w:semiHidden/>
    <w:qFormat/>
    <w:locked/>
    <w:uiPriority w:val="99"/>
    <w:rPr>
      <w:rFonts w:ascii="Times New Roman" w:hAnsi="Times New Roman" w:eastAsia="仿宋_GB2312" w:cs="Times New Roman"/>
      <w:b/>
      <w:bCs/>
      <w:sz w:val="28"/>
      <w:szCs w:val="28"/>
    </w:rPr>
  </w:style>
  <w:style w:type="character" w:customStyle="1" w:styleId="34">
    <w:name w:val="Header Char"/>
    <w:basedOn w:val="24"/>
    <w:link w:val="17"/>
    <w:qFormat/>
    <w:locked/>
    <w:uiPriority w:val="99"/>
    <w:rPr>
      <w:rFonts w:cs="Times New Roman"/>
      <w:sz w:val="18"/>
      <w:szCs w:val="18"/>
    </w:rPr>
  </w:style>
  <w:style w:type="character" w:customStyle="1" w:styleId="35">
    <w:name w:val="Footer Char"/>
    <w:basedOn w:val="24"/>
    <w:link w:val="15"/>
    <w:qFormat/>
    <w:locked/>
    <w:uiPriority w:val="99"/>
    <w:rPr>
      <w:rFonts w:cs="Times New Roman"/>
      <w:sz w:val="18"/>
      <w:szCs w:val="18"/>
    </w:rPr>
  </w:style>
  <w:style w:type="paragraph" w:customStyle="1" w:styleId="36">
    <w:name w:val="表中文字"/>
    <w:next w:val="1"/>
    <w:qFormat/>
    <w:uiPriority w:val="99"/>
    <w:pPr>
      <w:keepLines/>
      <w:adjustRightInd w:val="0"/>
      <w:snapToGrid w:val="0"/>
    </w:pPr>
    <w:rPr>
      <w:rFonts w:ascii="Times New Roman" w:hAnsi="Times New Roman" w:eastAsia="仿宋" w:cs="Times New Roman"/>
      <w:kern w:val="0"/>
      <w:sz w:val="24"/>
      <w:szCs w:val="20"/>
      <w:lang w:val="en-US" w:eastAsia="zh-CN" w:bidi="ar-SA"/>
    </w:rPr>
  </w:style>
  <w:style w:type="character" w:customStyle="1" w:styleId="37">
    <w:name w:val="Balloon Text Char"/>
    <w:basedOn w:val="24"/>
    <w:link w:val="14"/>
    <w:semiHidden/>
    <w:qFormat/>
    <w:locked/>
    <w:uiPriority w:val="99"/>
    <w:rPr>
      <w:rFonts w:ascii="Times New Roman" w:hAnsi="Times New Roman" w:eastAsia="仿宋_GB2312" w:cs="Times New Roman"/>
      <w:sz w:val="18"/>
      <w:szCs w:val="18"/>
    </w:rPr>
  </w:style>
  <w:style w:type="paragraph" w:customStyle="1" w:styleId="38">
    <w:name w:val="Char"/>
    <w:next w:val="16"/>
    <w:qFormat/>
    <w:uiPriority w:val="99"/>
    <w:pPr>
      <w:snapToGrid w:val="0"/>
      <w:spacing w:line="360" w:lineRule="auto"/>
      <w:ind w:firstLine="200" w:firstLineChars="200"/>
    </w:pPr>
    <w:rPr>
      <w:rFonts w:ascii="Times New Roman" w:hAnsi="Times New Roman" w:eastAsia="宋体" w:cs="Times New Roman"/>
      <w:kern w:val="0"/>
      <w:sz w:val="20"/>
      <w:szCs w:val="20"/>
      <w:lang w:val="en-US" w:eastAsia="zh-CN" w:bidi="ar-SA"/>
    </w:rPr>
  </w:style>
  <w:style w:type="character" w:customStyle="1" w:styleId="39">
    <w:name w:val="Body Text Indent Char"/>
    <w:basedOn w:val="24"/>
    <w:link w:val="10"/>
    <w:semiHidden/>
    <w:qFormat/>
    <w:locked/>
    <w:uiPriority w:val="99"/>
    <w:rPr>
      <w:rFonts w:ascii="Times New Roman" w:hAnsi="Times New Roman" w:eastAsia="仿宋_GB2312" w:cs="Times New Roman"/>
      <w:sz w:val="28"/>
      <w:szCs w:val="28"/>
    </w:rPr>
  </w:style>
  <w:style w:type="character" w:customStyle="1" w:styleId="40">
    <w:name w:val="Body Text First Indent 2 Char"/>
    <w:basedOn w:val="39"/>
    <w:link w:val="16"/>
    <w:semiHidden/>
    <w:qFormat/>
    <w:locked/>
    <w:uiPriority w:val="99"/>
  </w:style>
  <w:style w:type="character" w:customStyle="1" w:styleId="41">
    <w:name w:val="Comment Text Char"/>
    <w:basedOn w:val="24"/>
    <w:link w:val="8"/>
    <w:qFormat/>
    <w:locked/>
    <w:uiPriority w:val="99"/>
    <w:rPr>
      <w:rFonts w:ascii="Times New Roman" w:hAnsi="Times New Roman" w:eastAsia="仿宋_GB2312" w:cs="Times New Roman"/>
      <w:sz w:val="28"/>
      <w:szCs w:val="28"/>
    </w:rPr>
  </w:style>
  <w:style w:type="character" w:customStyle="1" w:styleId="42">
    <w:name w:val="Comment Subject Char"/>
    <w:basedOn w:val="41"/>
    <w:link w:val="7"/>
    <w:semiHidden/>
    <w:qFormat/>
    <w:locked/>
    <w:uiPriority w:val="99"/>
    <w:rPr>
      <w:b/>
      <w:bCs/>
    </w:rPr>
  </w:style>
  <w:style w:type="paragraph" w:customStyle="1" w:styleId="43">
    <w:name w:val="msonormal msonormal"/>
    <w:basedOn w:val="1"/>
    <w:qFormat/>
    <w:uiPriority w:val="99"/>
    <w:pPr>
      <w:widowControl/>
      <w:snapToGrid/>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44">
    <w:name w:val="List Paragraph"/>
    <w:basedOn w:val="1"/>
    <w:qFormat/>
    <w:uiPriority w:val="99"/>
    <w:pPr>
      <w:ind w:firstLine="420"/>
    </w:pPr>
  </w:style>
  <w:style w:type="paragraph" w:customStyle="1" w:styleId="45">
    <w:name w:val="正文-楷"/>
    <w:basedOn w:val="1"/>
    <w:link w:val="46"/>
    <w:qFormat/>
    <w:uiPriority w:val="99"/>
    <w:pPr>
      <w:ind w:firstLine="600"/>
    </w:pPr>
    <w:rPr>
      <w:rFonts w:eastAsia="楷体"/>
      <w:b/>
    </w:rPr>
  </w:style>
  <w:style w:type="character" w:customStyle="1" w:styleId="46">
    <w:name w:val="正文-楷 字符"/>
    <w:basedOn w:val="24"/>
    <w:link w:val="45"/>
    <w:qFormat/>
    <w:locked/>
    <w:uiPriority w:val="99"/>
    <w:rPr>
      <w:rFonts w:ascii="Times New Roman" w:hAnsi="Times New Roman" w:eastAsia="楷体" w:cs="Times New Roman"/>
      <w:b/>
      <w:sz w:val="28"/>
      <w:szCs w:val="28"/>
    </w:rPr>
  </w:style>
  <w:style w:type="character" w:customStyle="1" w:styleId="47">
    <w:name w:val="Title Char"/>
    <w:basedOn w:val="24"/>
    <w:link w:val="23"/>
    <w:qFormat/>
    <w:locked/>
    <w:uiPriority w:val="99"/>
    <w:rPr>
      <w:rFonts w:ascii="Times New Roman" w:hAnsi="Times New Roman" w:eastAsia="黑体" w:cs="Times New Roman"/>
      <w:b/>
      <w:bCs/>
      <w:sz w:val="32"/>
      <w:szCs w:val="32"/>
    </w:rPr>
  </w:style>
  <w:style w:type="paragraph" w:customStyle="1" w:styleId="48">
    <w:name w:val="正文-专栏"/>
    <w:basedOn w:val="1"/>
    <w:link w:val="49"/>
    <w:qFormat/>
    <w:uiPriority w:val="99"/>
    <w:pPr>
      <w:pBdr>
        <w:top w:val="single" w:color="auto" w:sz="4" w:space="1"/>
        <w:left w:val="single" w:color="auto" w:sz="4" w:space="4"/>
        <w:bottom w:val="single" w:color="auto" w:sz="4" w:space="1"/>
        <w:right w:val="single" w:color="auto" w:sz="4" w:space="4"/>
      </w:pBdr>
      <w:spacing w:line="480" w:lineRule="exact"/>
    </w:pPr>
    <w:rPr>
      <w:rFonts w:eastAsia="仿宋"/>
      <w:sz w:val="28"/>
      <w:szCs w:val="24"/>
    </w:rPr>
  </w:style>
  <w:style w:type="character" w:customStyle="1" w:styleId="49">
    <w:name w:val="正文-专栏 字符"/>
    <w:basedOn w:val="24"/>
    <w:link w:val="48"/>
    <w:qFormat/>
    <w:locked/>
    <w:uiPriority w:val="99"/>
    <w:rPr>
      <w:rFonts w:ascii="Times New Roman" w:hAnsi="Times New Roman" w:eastAsia="仿宋"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36</Pages>
  <Words>3263</Words>
  <Characters>18602</Characters>
  <Lines>0</Lines>
  <Paragraphs>0</Paragraphs>
  <TotalTime>0</TotalTime>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2020-06-30T01:29:00Z</dcterms:created>
  <dc:creator>王 亮</dc:creator>
  <cp:lastModifiedBy>admin</cp:lastModifiedBy>
  <cp:lastPrinted>2020-10-28T02:56:00Z</cp:lastPrinted>
  <dcterms:modified xsi:type="dcterms:W3CDTF">2020-11-10T02:11:22Z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